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78458">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2112" w:right="-451" w:firstLine="1608"/>
        <w:contextualSpacing/>
        <w:rPr>
          <w:b/>
          <w:bCs/>
        </w:rPr>
      </w:pPr>
      <w:bookmarkStart w:id="0" w:name="_Hlk34919203"/>
      <w:r>
        <w:rPr>
          <w:b/>
          <w:bCs/>
        </w:rPr>
        <w:drawing>
          <wp:anchor distT="0" distB="0" distL="114300" distR="114300" simplePos="0" relativeHeight="251659264" behindDoc="1" locked="0" layoutInCell="1" allowOverlap="1">
            <wp:simplePos x="0" y="0"/>
            <wp:positionH relativeFrom="page">
              <wp:posOffset>5899150</wp:posOffset>
            </wp:positionH>
            <wp:positionV relativeFrom="paragraph">
              <wp:posOffset>-914400</wp:posOffset>
            </wp:positionV>
            <wp:extent cx="1849120" cy="825500"/>
            <wp:effectExtent l="0" t="0" r="0" b="0"/>
            <wp:wrapNone/>
            <wp:docPr id="1" name="image1.jpg" descr="image004"/>
            <wp:cNvGraphicFramePr/>
            <a:graphic xmlns:a="http://schemas.openxmlformats.org/drawingml/2006/main">
              <a:graphicData uri="http://schemas.openxmlformats.org/drawingml/2006/picture">
                <pic:pic xmlns:pic="http://schemas.openxmlformats.org/drawingml/2006/picture">
                  <pic:nvPicPr>
                    <pic:cNvPr id="1" name="image1.jpg" descr="image004"/>
                    <pic:cNvPicPr preferRelativeResize="0"/>
                  </pic:nvPicPr>
                  <pic:blipFill>
                    <a:blip r:embed="rId7"/>
                    <a:srcRect/>
                    <a:stretch>
                      <a:fillRect/>
                    </a:stretch>
                  </pic:blipFill>
                  <pic:spPr>
                    <a:xfrm>
                      <a:off x="0" y="0"/>
                      <a:ext cx="1849120" cy="825500"/>
                    </a:xfrm>
                    <a:prstGeom prst="rect">
                      <a:avLst/>
                    </a:prstGeom>
                  </pic:spPr>
                </pic:pic>
              </a:graphicData>
            </a:graphic>
          </wp:anchor>
        </w:drawing>
      </w:r>
      <w:r>
        <w:rPr>
          <w:b/>
          <w:bCs/>
        </w:rPr>
        <w:t>APPEL D’OFFRES</w:t>
      </w:r>
    </w:p>
    <w:bookmarkEnd w:id="0"/>
    <w:p w14:paraId="36E10FA4">
      <w:pPr>
        <w:contextualSpacing/>
        <w:jc w:val="center"/>
        <w:rPr>
          <w:b/>
          <w:bCs/>
          <w:color w:val="333333"/>
          <w:shd w:val="clear" w:color="auto" w:fill="FFFFFF"/>
        </w:rPr>
      </w:pPr>
      <w:r>
        <w:rPr>
          <w:b/>
          <w:bCs/>
          <w:shd w:val="clear" w:color="auto" w:fill="FFFFFF"/>
        </w:rPr>
        <w:t>Impression de</w:t>
      </w:r>
      <w:r>
        <w:rPr>
          <w:b/>
          <w:bCs/>
        </w:rPr>
        <w:t xml:space="preserve"> 20</w:t>
      </w:r>
      <w:r>
        <w:rPr>
          <w:b/>
          <w:bCs/>
          <w:shd w:val="clear" w:color="auto" w:fill="FFFFFF"/>
        </w:rPr>
        <w:t>,000 Manuels Scolaires et 600 guides d’enseignement</w:t>
      </w:r>
    </w:p>
    <w:p w14:paraId="7E47845A">
      <w:pPr>
        <w:ind w:left="2880"/>
        <w:contextualSpacing/>
        <w:jc w:val="both"/>
        <w:rPr>
          <w:b/>
          <w:bCs/>
        </w:rPr>
      </w:pPr>
      <w:r>
        <w:rPr>
          <w:b/>
          <w:bCs/>
        </w:rPr>
        <w:t>Délivré par :  Counterpart International</w:t>
      </w:r>
    </w:p>
    <w:p w14:paraId="639780CF">
      <w:pPr>
        <w:ind w:left="2880"/>
        <w:contextualSpacing/>
        <w:jc w:val="both"/>
        <w:rPr>
          <w:b/>
          <w:bCs/>
        </w:rPr>
      </w:pPr>
    </w:p>
    <w:p w14:paraId="7E47845C">
      <w:pPr>
        <w:tabs>
          <w:tab w:val="left" w:pos="888"/>
          <w:tab w:val="left" w:pos="1128"/>
          <w:tab w:val="left" w:pos="315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pPr>
      <w:r>
        <w:t xml:space="preserve">Date d’émission: </w:t>
      </w:r>
      <w:r>
        <w:tab/>
      </w:r>
      <w:r>
        <w:tab/>
      </w:r>
      <w:r>
        <w:tab/>
      </w:r>
      <w:r>
        <w:t xml:space="preserve"> 09</w:t>
      </w:r>
      <w:r>
        <w:rPr>
          <w:rFonts w:hint="default"/>
          <w:lang w:val="fr-FR"/>
        </w:rPr>
        <w:t xml:space="preserve"> </w:t>
      </w:r>
      <w:bookmarkStart w:id="3" w:name="_GoBack"/>
      <w:bookmarkEnd w:id="3"/>
      <w:r>
        <w:t>janvier, 2025</w:t>
      </w:r>
      <w:r>
        <w:tab/>
      </w:r>
    </w:p>
    <w:p w14:paraId="431CF29D">
      <w:pPr>
        <w:tabs>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rPr>
          <w:b/>
          <w:bCs/>
          <w:color w:val="333333"/>
        </w:rPr>
      </w:pPr>
      <w:r>
        <w:t xml:space="preserve">Numéro de la demande de offres: </w:t>
      </w:r>
      <w:r>
        <w:tab/>
      </w:r>
      <w:r>
        <w:tab/>
      </w:r>
      <w:r>
        <w:rPr>
          <w:color w:val="000000" w:themeColor="text1"/>
          <w14:textFill>
            <w14:solidFill>
              <w14:schemeClr w14:val="tx1"/>
            </w14:solidFill>
          </w14:textFill>
        </w:rPr>
        <w:t>CI-MGD-RFQ –school manuals/2025</w:t>
      </w:r>
      <w:r>
        <w:t xml:space="preserve">   </w:t>
      </w:r>
    </w:p>
    <w:p w14:paraId="330C8AC7">
      <w:pPr>
        <w:tabs>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rPr>
          <w:b/>
          <w:bCs/>
        </w:rPr>
      </w:pPr>
      <w:r>
        <w:t xml:space="preserve">Intitulé de la demande de offres: </w:t>
      </w:r>
      <w:r>
        <w:tab/>
      </w:r>
      <w:r>
        <w:tab/>
      </w:r>
      <w:r>
        <w:rPr>
          <w:b/>
          <w:bCs/>
        </w:rPr>
        <w:t xml:space="preserve">Impression de 20,000 Manuels Scolaires et </w:t>
      </w:r>
    </w:p>
    <w:p w14:paraId="0AA4B447">
      <w:pPr>
        <w:tabs>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rPr>
          <w:b/>
          <w:bCs/>
          <w:color w:val="333333"/>
        </w:rPr>
      </w:pPr>
      <w:r>
        <w:rPr>
          <w:b/>
          <w:bCs/>
        </w:rPr>
        <w:tab/>
      </w:r>
      <w:r>
        <w:rPr>
          <w:b/>
          <w:bCs/>
        </w:rPr>
        <w:tab/>
      </w:r>
      <w:r>
        <w:rPr>
          <w:b/>
          <w:bCs/>
        </w:rPr>
        <w:tab/>
      </w:r>
      <w:r>
        <w:rPr>
          <w:b/>
          <w:bCs/>
        </w:rPr>
        <w:tab/>
      </w:r>
      <w:r>
        <w:rPr>
          <w:b/>
          <w:bCs/>
        </w:rPr>
        <w:tab/>
      </w:r>
      <w:r>
        <w:rPr>
          <w:b/>
          <w:bCs/>
        </w:rPr>
        <w:t>600 guides d’enseignement</w:t>
      </w:r>
    </w:p>
    <w:p w14:paraId="5A85104C">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pPr>
    </w:p>
    <w:p w14:paraId="7E47845F">
      <w:pPr>
        <w:tabs>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pPr>
      <w:r>
        <w:t xml:space="preserve">Délai pour poser des questions : </w:t>
      </w:r>
      <w:r>
        <w:tab/>
      </w:r>
      <w:r>
        <w:tab/>
      </w:r>
      <w:r>
        <w:t>1</w:t>
      </w:r>
      <w:r>
        <w:rPr>
          <w:rFonts w:hint="default"/>
          <w:lang w:val="fr-FR"/>
        </w:rPr>
        <w:t>6</w:t>
      </w:r>
      <w:r>
        <w:t xml:space="preserve"> janvier, 2025 à 17:00 hr</w:t>
      </w:r>
      <w:r>
        <w:tab/>
      </w:r>
      <w:r>
        <w:tab/>
      </w:r>
      <w:r>
        <w:tab/>
      </w:r>
    </w:p>
    <w:p w14:paraId="7E47846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pPr>
      <w:r>
        <w:t>Délai fixé pour les réponses :</w:t>
      </w:r>
      <w:r>
        <w:tab/>
      </w:r>
      <w:r>
        <w:tab/>
      </w:r>
      <w:r>
        <w:tab/>
      </w:r>
      <w:r>
        <w:rPr>
          <w:rFonts w:hint="default"/>
          <w:lang w:val="fr-FR"/>
        </w:rPr>
        <w:t>22</w:t>
      </w:r>
      <w:r>
        <w:t xml:space="preserve"> janvier, 2025 à 17:00 hr</w:t>
      </w:r>
      <w:r>
        <w:tab/>
      </w:r>
    </w:p>
    <w:p w14:paraId="7E478461">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pPr>
      <w:r>
        <w:t xml:space="preserve">Date de clôture de réception des offres : </w:t>
      </w:r>
      <w:r>
        <w:tab/>
      </w:r>
      <w:r>
        <w:rPr>
          <w:rFonts w:hint="default"/>
          <w:lang w:val="fr-FR"/>
        </w:rPr>
        <w:t>30</w:t>
      </w:r>
      <w:r>
        <w:t xml:space="preserve"> janvier, 2025 à 12:00 hr</w:t>
      </w:r>
    </w:p>
    <w:p w14:paraId="7E478462">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rPr>
          <w:b/>
          <w:bCs/>
        </w:rPr>
      </w:pPr>
      <w:r>
        <w:t>Soumettre les questions à :</w:t>
      </w:r>
      <w:r>
        <w:tab/>
      </w:r>
      <w:r>
        <w:t xml:space="preserve">                 </w:t>
      </w:r>
      <w:r>
        <w:tab/>
      </w:r>
      <w:r>
        <w:fldChar w:fldCharType="begin"/>
      </w:r>
      <w:r>
        <w:instrText xml:space="preserve"> HYPERLINK "mailto:procurement.mauritania@counterpart.org" \h </w:instrText>
      </w:r>
      <w:r>
        <w:fldChar w:fldCharType="separate"/>
      </w:r>
      <w:r>
        <w:rPr>
          <w:b/>
          <w:bCs/>
          <w:color w:val="0563C1"/>
          <w:u w:val="single"/>
        </w:rPr>
        <w:t>procurement.mauritania@counterpart.org</w:t>
      </w:r>
      <w:r>
        <w:rPr>
          <w:b/>
          <w:bCs/>
          <w:color w:val="0563C1"/>
          <w:u w:val="single"/>
        </w:rPr>
        <w:fldChar w:fldCharType="end"/>
      </w:r>
    </w:p>
    <w:p w14:paraId="7E478463">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4560" w:right="-451" w:hanging="4560"/>
        <w:contextualSpacing/>
        <w:jc w:val="both"/>
        <w:rPr>
          <w:b/>
          <w:bCs/>
        </w:rPr>
      </w:pPr>
      <w:r>
        <w:t>Soumettre les offres sous plis fermés à :</w:t>
      </w:r>
      <w:r>
        <w:tab/>
      </w:r>
      <w:r>
        <w:t>Counterpart International, lot 254 Tevragzeyna BP3933 Nouakchott Mauritanie</w:t>
      </w:r>
    </w:p>
    <w:p w14:paraId="66B14EA2">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rPr>
          <w:color w:val="212121"/>
        </w:rPr>
      </w:pPr>
    </w:p>
    <w:p w14:paraId="4067066D">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rPr>
          <w:b/>
          <w:bCs/>
        </w:rPr>
      </w:pPr>
      <w:r>
        <w:rPr>
          <w:color w:val="212121"/>
          <w:shd w:val="clear" w:color="auto" w:fill="FFFFFF"/>
        </w:rPr>
        <w:t xml:space="preserve">Dans le cadre de la mise en œuvre de ses activités en Mauritanie, COUNTERPART International (ci-après COUNTERPART) lance un avis d’appel d’offres </w:t>
      </w:r>
      <w:r>
        <w:rPr>
          <w:color w:val="212121"/>
        </w:rPr>
        <w:t>auprès des</w:t>
      </w:r>
      <w:r>
        <w:t xml:space="preserve"> imprimeries régulièrement et légalement </w:t>
      </w:r>
      <w:r>
        <w:rPr>
          <w:color w:val="212121"/>
          <w:shd w:val="clear" w:color="auto" w:fill="FFFFFF"/>
        </w:rPr>
        <w:t>installés en Mauritanie et spécialisés</w:t>
      </w:r>
      <w:r>
        <w:rPr>
          <w:color w:val="212121"/>
        </w:rPr>
        <w:t xml:space="preserve"> dans l’impression de manuels scolaires. Le but de cet appel d’offres est </w:t>
      </w:r>
      <w:r>
        <w:rPr>
          <w:color w:val="333333"/>
          <w:shd w:val="clear" w:color="auto" w:fill="FFFFFF"/>
        </w:rPr>
        <w:t>l’impression de manuels scolaires au profit de élèves s bénéficiaires du projet</w:t>
      </w:r>
      <w:r>
        <w:rPr>
          <w:b/>
          <w:bCs/>
          <w:color w:val="212121"/>
        </w:rPr>
        <w:t xml:space="preserve"> </w:t>
      </w:r>
      <w:r>
        <w:rPr>
          <w:color w:val="212121"/>
        </w:rPr>
        <w:t xml:space="preserve">McGovern-Dole </w:t>
      </w:r>
      <w:r>
        <w:t>(</w:t>
      </w:r>
      <w:r>
        <w:rPr>
          <w:b/>
          <w:bCs/>
        </w:rPr>
        <w:t>voir les spécifications techniques ci-dessous)</w:t>
      </w:r>
      <w:r>
        <w:rPr>
          <w:color w:val="212121"/>
        </w:rPr>
        <w:t xml:space="preserve">. </w:t>
      </w:r>
    </w:p>
    <w:p w14:paraId="7E478469">
      <w:pPr>
        <w:contextualSpacing/>
        <w:jc w:val="both"/>
        <w:rPr>
          <w:b/>
          <w:bCs/>
        </w:rPr>
      </w:pPr>
    </w:p>
    <w:p w14:paraId="7E47846B">
      <w:pPr>
        <w:pStyle w:val="29"/>
        <w:numPr>
          <w:ilvl w:val="0"/>
          <w:numId w:val="1"/>
        </w:num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40" w:lineRule="auto"/>
        <w:ind w:right="-451"/>
        <w:rPr>
          <w:rFonts w:ascii="Times New Roman" w:hAnsi="Times New Roman" w:eastAsia="Times New Roman" w:cs="Times New Roman"/>
          <w:b/>
          <w:bCs/>
          <w:sz w:val="24"/>
          <w:szCs w:val="24"/>
          <w:lang w:val="fr-FR"/>
        </w:rPr>
      </w:pPr>
      <w:r>
        <w:rPr>
          <w:rFonts w:ascii="Times New Roman" w:hAnsi="Times New Roman" w:eastAsia="Times New Roman" w:cs="Times New Roman"/>
          <w:b/>
          <w:bCs/>
          <w:sz w:val="24"/>
          <w:szCs w:val="24"/>
          <w:lang w:val="fr-FR"/>
        </w:rPr>
        <w:t>CONTEXTE</w:t>
      </w:r>
    </w:p>
    <w:p w14:paraId="7D3D3667">
      <w:pPr>
        <w:pStyle w:val="28"/>
        <w:shd w:val="clear" w:color="auto" w:fill="FFFFFF" w:themeFill="background1"/>
        <w:spacing w:before="0" w:beforeAutospacing="0" w:after="0" w:afterAutospacing="0"/>
        <w:ind w:left="-360"/>
        <w:contextualSpacing/>
        <w:jc w:val="both"/>
        <w:textAlignment w:val="baseline"/>
        <w:rPr>
          <w:lang w:val="fr-FR"/>
        </w:rPr>
      </w:pPr>
      <w:r>
        <w:rPr>
          <w:rStyle w:val="27"/>
          <w:color w:val="212121"/>
          <w:lang w:val="fr-FR"/>
        </w:rPr>
        <w:t>Counterpart International est une organisation Américaine non-gouvernementale intervenant dans le secteur du développement international et travaille en étroite collaboration avec des individus, des organisations et des réseaux du monde entier qui se sont engagés à créer le bien social. </w:t>
      </w:r>
      <w:r>
        <w:rPr>
          <w:rStyle w:val="27"/>
          <w:color w:val="000000" w:themeColor="text1"/>
          <w:lang w:val="fr-FR"/>
          <w14:textFill>
            <w14:solidFill>
              <w14:schemeClr w14:val="tx1"/>
            </w14:solidFill>
          </w14:textFill>
        </w:rPr>
        <w:t>Counterpart International, à travers ses partenaires, œuvre pour une gouvernance plus ouverte et plus participative, l’accès des communautés à l'éducation, la protection des ressources naturelles, la résilience aux changements climatiques et l'amélioration des moyens de subsistance. Counterpart met actuellement en œuvre des programmes dans 22 pays et emploie près de 1000 personnes dans le monde.</w:t>
      </w:r>
    </w:p>
    <w:p w14:paraId="305D0D2C">
      <w:pPr>
        <w:pStyle w:val="28"/>
        <w:shd w:val="clear" w:color="auto" w:fill="FFFFFF" w:themeFill="background1"/>
        <w:spacing w:before="0" w:beforeAutospacing="0" w:after="0" w:afterAutospacing="0"/>
        <w:ind w:left="-360"/>
        <w:contextualSpacing/>
        <w:jc w:val="both"/>
        <w:textAlignment w:val="baseline"/>
        <w:rPr>
          <w:lang w:val="fr-FR"/>
        </w:rPr>
      </w:pPr>
    </w:p>
    <w:p w14:paraId="7CCF1F48">
      <w:pPr>
        <w:pStyle w:val="28"/>
        <w:shd w:val="clear" w:color="auto" w:fill="FFFFFF" w:themeFill="background1"/>
        <w:spacing w:before="0" w:beforeAutospacing="0" w:after="0" w:afterAutospacing="0"/>
        <w:ind w:left="-360"/>
        <w:contextualSpacing/>
        <w:jc w:val="both"/>
        <w:textAlignment w:val="baseline"/>
        <w:rPr>
          <w:color w:val="000000" w:themeColor="text1"/>
          <w:lang w:val="fr-FR"/>
          <w14:textFill>
            <w14:solidFill>
              <w14:schemeClr w14:val="tx1"/>
            </w14:solidFill>
          </w14:textFill>
        </w:rPr>
      </w:pPr>
      <w:r>
        <w:rPr>
          <w:rStyle w:val="27"/>
          <w:lang w:val="fr-FR"/>
        </w:rPr>
        <w:t>En Mauritanie, Counterpart et ses partenaires mettent en œuvre un programme quinquennal financé par USDA. Ce programme vise à aider le gouvernement mauritanien à lutter contre la faim, à améliorer la santé et à renforcer le système d'enseignement fondamental par le biais d'un programme d'alimentation scolaire. Mis en œuvre dans trois régions (Brakna, Gorgol et Tagant), le programme « Construire l’avenir) !» bénéficiera à plus de</w:t>
      </w:r>
      <w:r>
        <w:rPr>
          <w:color w:val="000000" w:themeColor="text1"/>
          <w:lang w:val="fr-FR"/>
          <w14:textFill>
            <w14:solidFill>
              <w14:schemeClr w14:val="tx1"/>
            </w14:solidFill>
          </w14:textFill>
        </w:rPr>
        <w:t xml:space="preserve"> 299 écoles primaires.</w:t>
      </w:r>
    </w:p>
    <w:p w14:paraId="30F0063E">
      <w:pPr>
        <w:pStyle w:val="28"/>
        <w:shd w:val="clear" w:color="auto" w:fill="FFFFFF" w:themeFill="background1"/>
        <w:spacing w:before="0" w:beforeAutospacing="0" w:after="0" w:afterAutospacing="0"/>
        <w:ind w:left="-360"/>
        <w:contextualSpacing/>
        <w:jc w:val="both"/>
        <w:textAlignment w:val="baseline"/>
        <w:rPr>
          <w:rStyle w:val="27"/>
          <w:lang w:val="fr-FR"/>
        </w:rPr>
      </w:pPr>
    </w:p>
    <w:p w14:paraId="032C4062">
      <w:pPr>
        <w:pStyle w:val="28"/>
        <w:shd w:val="clear" w:color="auto" w:fill="FFFFFF" w:themeFill="background1"/>
        <w:spacing w:before="0" w:beforeAutospacing="0" w:after="0" w:afterAutospacing="0"/>
        <w:ind w:left="-360"/>
        <w:contextualSpacing/>
        <w:jc w:val="both"/>
        <w:textAlignment w:val="baseline"/>
        <w:rPr>
          <w:lang w:val="fr-FR"/>
        </w:rPr>
      </w:pPr>
      <w:r>
        <w:rPr>
          <w:lang w:val="fr-FR"/>
        </w:rPr>
        <w:t>Les imprimeries sont invitées par Counterpart à soumettre des offres pour l’impression des manuels décrits ci-après. Les soumissionnaires ne seront pas remboursés pour les frais occasionnés dans la préparation et la soumission de leurs offres.</w:t>
      </w:r>
    </w:p>
    <w:p w14:paraId="1ED51AE2">
      <w:pPr>
        <w:pStyle w:val="28"/>
        <w:shd w:val="clear" w:color="auto" w:fill="FFFFFF" w:themeFill="background1"/>
        <w:spacing w:before="0" w:beforeAutospacing="0" w:after="0" w:afterAutospacing="0"/>
        <w:ind w:left="-360"/>
        <w:contextualSpacing/>
        <w:jc w:val="both"/>
        <w:textAlignment w:val="baseline"/>
        <w:rPr>
          <w:lang w:val="fr-FR"/>
        </w:rPr>
      </w:pPr>
    </w:p>
    <w:p w14:paraId="084341CF">
      <w:pPr>
        <w:pStyle w:val="29"/>
        <w:numPr>
          <w:ilvl w:val="0"/>
          <w:numId w:val="2"/>
        </w:numPr>
        <w:suppressAutoHyphens/>
        <w:overflowPunct w:val="0"/>
        <w:autoSpaceDE w:val="0"/>
        <w:spacing w:after="0" w:line="240" w:lineRule="auto"/>
        <w:jc w:val="both"/>
        <w:rPr>
          <w:rFonts w:ascii="Times New Roman" w:hAnsi="Times New Roman" w:eastAsia="Times New Roman" w:cs="Times New Roman"/>
          <w:b/>
          <w:bCs/>
          <w:caps/>
          <w:sz w:val="24"/>
          <w:szCs w:val="24"/>
          <w:lang w:val="fr-FR"/>
        </w:rPr>
      </w:pPr>
      <w:r>
        <w:rPr>
          <w:rFonts w:ascii="Times New Roman" w:hAnsi="Times New Roman" w:eastAsia="Times New Roman" w:cs="Times New Roman"/>
          <w:b/>
          <w:bCs/>
          <w:caps/>
          <w:sz w:val="24"/>
          <w:szCs w:val="24"/>
          <w:lang w:val="fr-FR"/>
        </w:rPr>
        <w:t>PAYS DE SOURCE ÉLIGIBLES AUX BIENS ET SERVICES</w:t>
      </w:r>
    </w:p>
    <w:p w14:paraId="1740682F">
      <w:pPr>
        <w:numPr>
          <w:ilvl w:val="0"/>
          <w:numId w:val="3"/>
        </w:numPr>
        <w:spacing w:before="240" w:after="200"/>
        <w:contextualSpacing/>
        <w:jc w:val="both"/>
      </w:pPr>
      <w:r>
        <w:t>Le soumissionnaire doit légalement être installé en Mauritanie et il doit avoir un agrément valide conformément à la législation en vigueur.</w:t>
      </w:r>
    </w:p>
    <w:p w14:paraId="1CE99F94">
      <w:pPr>
        <w:numPr>
          <w:ilvl w:val="0"/>
          <w:numId w:val="3"/>
        </w:numPr>
        <w:spacing w:after="200"/>
        <w:contextualSpacing/>
        <w:jc w:val="both"/>
      </w:pPr>
      <w:r>
        <w:t>Les soumissionnaires seront considérés comme inéligibles s'ils sont actuellement suspendus, exclus ou réputés inéligibles, comme indiqué sur la liste des sites ci-dessous :</w:t>
      </w:r>
    </w:p>
    <w:p w14:paraId="499BB5B3">
      <w:pPr>
        <w:numPr>
          <w:ilvl w:val="1"/>
          <w:numId w:val="4"/>
        </w:numPr>
        <w:spacing w:after="200"/>
        <w:contextualSpacing/>
        <w:jc w:val="both"/>
      </w:pPr>
      <w:r>
        <w:t>www.SAM.gov, par entité ou par individu, et/ou</w:t>
      </w:r>
    </w:p>
    <w:p w14:paraId="7596720F">
      <w:pPr>
        <w:numPr>
          <w:ilvl w:val="1"/>
          <w:numId w:val="4"/>
        </w:numPr>
        <w:spacing w:after="200"/>
        <w:contextualSpacing/>
        <w:jc w:val="both"/>
      </w:pPr>
      <w:r>
        <w:t>Liste des personnes spécialement désignées et des personnes bloquées par le Trésor américain (à l’adresse : http://www.treasury.gov/resource-center/sanctions/SDN-List/Pages/default.aspx), et/ou</w:t>
      </w:r>
    </w:p>
    <w:p w14:paraId="583BC6B7">
      <w:pPr>
        <w:numPr>
          <w:ilvl w:val="1"/>
          <w:numId w:val="4"/>
        </w:numPr>
        <w:spacing w:after="200"/>
        <w:contextualSpacing/>
        <w:jc w:val="both"/>
      </w:pPr>
      <w:r>
        <w:t xml:space="preserve">Les personnes ou entités figurant sur la liste de désignation de sécurité des Nations Unies ou sur celle-ci (à l'adresse suivante : </w:t>
      </w:r>
      <w:r>
        <w:fldChar w:fldCharType="begin"/>
      </w:r>
      <w:r>
        <w:instrText xml:space="preserve"> HYPERLINK "http://www.un.org/sc/committees/1267/aq_sanctions_list.shtml" \h </w:instrText>
      </w:r>
      <w:r>
        <w:fldChar w:fldCharType="separate"/>
      </w:r>
      <w:r>
        <w:rPr>
          <w:color w:val="0000FF"/>
          <w:u w:val="single"/>
        </w:rPr>
        <w:t>http://www.un.org/sc/committees/1267/aq_sanctions_list.shtml</w:t>
      </w:r>
      <w:r>
        <w:rPr>
          <w:color w:val="0000FF"/>
          <w:u w:val="single"/>
        </w:rPr>
        <w:fldChar w:fldCharType="end"/>
      </w:r>
      <w:r>
        <w:t>).</w:t>
      </w:r>
    </w:p>
    <w:p w14:paraId="7E4784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12121"/>
        </w:rPr>
      </w:pPr>
    </w:p>
    <w:p w14:paraId="7E478478">
      <w:pPr>
        <w:numPr>
          <w:ilvl w:val="0"/>
          <w:numId w:val="2"/>
        </w:numPr>
        <w:pBdr>
          <w:top w:val="none" w:color="auto" w:sz="0" w:space="0"/>
          <w:left w:val="none" w:color="auto" w:sz="0" w:space="0"/>
          <w:bottom w:val="none" w:color="auto" w:sz="0" w:space="0"/>
          <w:right w:val="none" w:color="auto" w:sz="0" w:space="0"/>
          <w:between w:val="none" w:color="auto" w:sz="0" w:space="0"/>
        </w:pBdr>
        <w:contextualSpacing/>
        <w:jc w:val="both"/>
        <w:rPr>
          <w:b/>
          <w:bCs/>
          <w:smallCaps/>
          <w:color w:val="000000" w:themeColor="text1"/>
          <w14:textFill>
            <w14:solidFill>
              <w14:schemeClr w14:val="tx1"/>
            </w14:solidFill>
          </w14:textFill>
        </w:rPr>
      </w:pPr>
      <w:r>
        <w:rPr>
          <w:b/>
          <w:bCs/>
          <w:smallCaps/>
        </w:rPr>
        <w:t>SPÉCIFICATIONS</w:t>
      </w:r>
      <w:r>
        <w:rPr>
          <w:b/>
          <w:bCs/>
          <w:smallCaps/>
          <w:color w:val="000000" w:themeColor="text1"/>
          <w14:textFill>
            <w14:solidFill>
              <w14:schemeClr w14:val="tx1"/>
            </w14:solidFill>
          </w14:textFill>
        </w:rPr>
        <w:t xml:space="preserve"> TECHNIQUES </w:t>
      </w:r>
    </w:p>
    <w:p w14:paraId="7122B8F4">
      <w:pPr>
        <w:pBdr>
          <w:top w:val="none" w:color="auto" w:sz="0" w:space="0"/>
          <w:left w:val="none" w:color="auto" w:sz="0" w:space="0"/>
          <w:bottom w:val="none" w:color="auto" w:sz="0" w:space="0"/>
          <w:right w:val="none" w:color="auto" w:sz="0" w:space="0"/>
          <w:between w:val="none" w:color="auto" w:sz="0" w:space="0"/>
        </w:pBdr>
        <w:ind w:left="360"/>
        <w:contextualSpacing/>
        <w:jc w:val="both"/>
      </w:pPr>
    </w:p>
    <w:p w14:paraId="6C4E51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color w:val="000000" w:themeColor="text1"/>
          <w:lang w:val="fr"/>
          <w14:textFill>
            <w14:solidFill>
              <w14:schemeClr w14:val="tx1"/>
            </w14:solidFill>
          </w14:textFill>
        </w:rPr>
      </w:pPr>
      <w:r>
        <w:t>Counterpart recherche une imprimerie pour l’impression de 20,000 manuels scolaires et 600 guides de professeurs suivantes :</w:t>
      </w:r>
      <w:r>
        <w:rPr>
          <w:color w:val="FF0000"/>
        </w:rPr>
        <w:t xml:space="preserve"> </w:t>
      </w:r>
      <w:r>
        <w:rPr>
          <w:color w:val="000000" w:themeColor="text1"/>
          <w:lang w:val="fr"/>
          <w14:textFill>
            <w14:solidFill>
              <w14:schemeClr w14:val="tx1"/>
            </w14:solidFill>
          </w14:textFill>
        </w:rPr>
        <w:t xml:space="preserve"> </w:t>
      </w:r>
    </w:p>
    <w:p w14:paraId="76C5269E">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bl>
      <w:tblPr>
        <w:tblStyle w:val="9"/>
        <w:tblW w:w="9990" w:type="dxa"/>
        <w:tblInd w:w="-370" w:type="dxa"/>
        <w:tblLayout w:type="fixed"/>
        <w:tblCellMar>
          <w:top w:w="0" w:type="dxa"/>
          <w:left w:w="108" w:type="dxa"/>
          <w:bottom w:w="0" w:type="dxa"/>
          <w:right w:w="108" w:type="dxa"/>
        </w:tblCellMar>
      </w:tblPr>
      <w:tblGrid>
        <w:gridCol w:w="900"/>
        <w:gridCol w:w="990"/>
        <w:gridCol w:w="900"/>
        <w:gridCol w:w="720"/>
        <w:gridCol w:w="900"/>
        <w:gridCol w:w="1170"/>
        <w:gridCol w:w="1260"/>
        <w:gridCol w:w="1080"/>
        <w:gridCol w:w="1080"/>
        <w:gridCol w:w="990"/>
      </w:tblGrid>
      <w:tr w14:paraId="32B7B319">
        <w:tblPrEx>
          <w:tblCellMar>
            <w:top w:w="0" w:type="dxa"/>
            <w:left w:w="108" w:type="dxa"/>
            <w:bottom w:w="0" w:type="dxa"/>
            <w:right w:w="108" w:type="dxa"/>
          </w:tblCellMar>
        </w:tblPrEx>
        <w:trPr>
          <w:trHeight w:val="345" w:hRule="atLeast"/>
        </w:trPr>
        <w:tc>
          <w:tcPr>
            <w:tcW w:w="900"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14:paraId="03160A38">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Item</w:t>
            </w:r>
            <w:r>
              <w:rPr>
                <w:color w:val="000000" w:themeColor="text1"/>
                <w:lang w:val="fr"/>
                <w14:textFill>
                  <w14:solidFill>
                    <w14:schemeClr w14:val="tx1"/>
                  </w14:solidFill>
                </w14:textFill>
              </w:rPr>
              <w:t xml:space="preserve"> </w:t>
            </w:r>
          </w:p>
        </w:tc>
        <w:tc>
          <w:tcPr>
            <w:tcW w:w="189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14:paraId="11CE24D6">
            <w:pPr>
              <w:contextualSpacing/>
              <w:jc w:val="center"/>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 xml:space="preserve">Nom du livre </w:t>
            </w:r>
            <w:r>
              <w:rPr>
                <w:color w:val="000000" w:themeColor="text1"/>
                <w:lang w:val="fr"/>
                <w14:textFill>
                  <w14:solidFill>
                    <w14:schemeClr w14:val="tx1"/>
                  </w14:solidFill>
                </w14:textFill>
              </w:rPr>
              <w:t xml:space="preserve"> </w:t>
            </w:r>
          </w:p>
        </w:tc>
        <w:tc>
          <w:tcPr>
            <w:tcW w:w="6210" w:type="dxa"/>
            <w:gridSpan w:val="6"/>
            <w:tcBorders>
              <w:top w:val="single" w:color="000000" w:themeColor="text1" w:sz="8" w:space="0"/>
              <w:left w:val="nil"/>
              <w:bottom w:val="single" w:color="000000" w:themeColor="text1" w:sz="8" w:space="0"/>
              <w:right w:val="single" w:color="000000" w:themeColor="text1" w:sz="8" w:space="0"/>
            </w:tcBorders>
            <w:tcMar>
              <w:top w:w="15" w:type="dxa"/>
              <w:left w:w="15" w:type="dxa"/>
              <w:bottom w:w="15" w:type="dxa"/>
              <w:right w:w="15" w:type="dxa"/>
            </w:tcMar>
          </w:tcPr>
          <w:p w14:paraId="02BCD6CB">
            <w:pPr>
              <w:contextualSpacing/>
              <w:jc w:val="center"/>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Spécifications</w:t>
            </w:r>
            <w:r>
              <w:rPr>
                <w:color w:val="000000" w:themeColor="text1"/>
                <w:lang w:val="fr"/>
                <w14:textFill>
                  <w14:solidFill>
                    <w14:schemeClr w14:val="tx1"/>
                  </w14:solidFill>
                </w14:textFill>
              </w:rPr>
              <w:t xml:space="preserve"> </w:t>
            </w:r>
            <w:r>
              <w:rPr>
                <w:b/>
                <w:bCs/>
                <w:color w:val="000000" w:themeColor="text1"/>
                <w:lang w:val="fr"/>
                <w14:textFill>
                  <w14:solidFill>
                    <w14:schemeClr w14:val="tx1"/>
                  </w14:solidFill>
                </w14:textFill>
              </w:rPr>
              <w:t>et normes techniques demandées</w:t>
            </w:r>
            <w:r>
              <w:rPr>
                <w:color w:val="000000" w:themeColor="text1"/>
                <w:lang w:val="fr"/>
                <w14:textFill>
                  <w14:solidFill>
                    <w14:schemeClr w14:val="tx1"/>
                  </w14:solidFill>
                </w14:textFill>
              </w:rPr>
              <w:t xml:space="preserve"> </w:t>
            </w:r>
          </w:p>
        </w:tc>
        <w:tc>
          <w:tcPr>
            <w:tcW w:w="990" w:type="dxa"/>
            <w:vMerge w:val="restart"/>
            <w:tcBorders>
              <w:top w:val="single" w:color="000000" w:themeColor="text1" w:sz="8" w:space="0"/>
              <w:left w:val="nil"/>
              <w:bottom w:val="single" w:color="000000" w:themeColor="text1" w:sz="8" w:space="0"/>
              <w:right w:val="single" w:color="000000" w:themeColor="text1" w:sz="8" w:space="0"/>
            </w:tcBorders>
            <w:tcMar>
              <w:top w:w="15" w:type="dxa"/>
              <w:left w:w="15" w:type="dxa"/>
              <w:bottom w:w="15" w:type="dxa"/>
              <w:right w:w="15" w:type="dxa"/>
            </w:tcMar>
          </w:tcPr>
          <w:p w14:paraId="6D697772">
            <w:pPr>
              <w:contextualSpacing/>
              <w:jc w:val="center"/>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Quantité</w:t>
            </w:r>
            <w:r>
              <w:rPr>
                <w:color w:val="000000" w:themeColor="text1"/>
                <w:lang w:val="fr"/>
                <w14:textFill>
                  <w14:solidFill>
                    <w14:schemeClr w14:val="tx1"/>
                  </w14:solidFill>
                </w14:textFill>
              </w:rPr>
              <w:t xml:space="preserve"> </w:t>
            </w:r>
          </w:p>
        </w:tc>
      </w:tr>
      <w:tr w14:paraId="21E60157">
        <w:tblPrEx>
          <w:tblCellMar>
            <w:top w:w="0" w:type="dxa"/>
            <w:left w:w="108" w:type="dxa"/>
            <w:bottom w:w="0" w:type="dxa"/>
            <w:right w:w="108" w:type="dxa"/>
          </w:tblCellMar>
        </w:tblPrEx>
        <w:trPr>
          <w:trHeight w:val="1110" w:hRule="atLeast"/>
        </w:trPr>
        <w:tc>
          <w:tcPr>
            <w:tcW w:w="900" w:type="dxa"/>
            <w:vMerge w:val="continue"/>
            <w:vAlign w:val="center"/>
          </w:tcPr>
          <w:p w14:paraId="2AD97B5F">
            <w:pPr>
              <w:contextualSpacing/>
            </w:pPr>
          </w:p>
        </w:tc>
        <w:tc>
          <w:tcPr>
            <w:tcW w:w="990" w:type="dxa"/>
            <w:tcBorders>
              <w:top w:val="single" w:color="000000" w:themeColor="text1" w:sz="8" w:space="0"/>
              <w:left w:val="nil"/>
              <w:bottom w:val="single" w:color="000000" w:themeColor="text1" w:sz="8" w:space="0"/>
              <w:right w:val="nil"/>
            </w:tcBorders>
            <w:tcMar>
              <w:top w:w="15" w:type="dxa"/>
              <w:left w:w="15" w:type="dxa"/>
              <w:bottom w:w="15" w:type="dxa"/>
              <w:right w:w="15" w:type="dxa"/>
            </w:tcMar>
          </w:tcPr>
          <w:p w14:paraId="6E673062">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Nom du manuel</w:t>
            </w:r>
            <w:r>
              <w:rPr>
                <w:color w:val="000000" w:themeColor="text1"/>
                <w:lang w:val="fr"/>
                <w14:textFill>
                  <w14:solidFill>
                    <w14:schemeClr w14:val="tx1"/>
                  </w14:solidFill>
                </w14:textFill>
              </w:rPr>
              <w:t xml:space="preserve"> </w:t>
            </w:r>
          </w:p>
        </w:tc>
        <w:tc>
          <w:tcPr>
            <w:tcW w:w="900" w:type="dxa"/>
            <w:tcBorders>
              <w:top w:val="nil"/>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14:paraId="3DD3D45F">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Niveau</w:t>
            </w:r>
            <w:r>
              <w:rPr>
                <w:color w:val="000000" w:themeColor="text1"/>
                <w:lang w:val="fr"/>
                <w14:textFill>
                  <w14:solidFill>
                    <w14:schemeClr w14:val="tx1"/>
                  </w14:solidFill>
                </w14:textFill>
              </w:rPr>
              <w:t xml:space="preserve"> </w:t>
            </w:r>
          </w:p>
        </w:tc>
        <w:tc>
          <w:tcPr>
            <w:tcW w:w="72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3716EFB8">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Nbre pages</w:t>
            </w:r>
            <w:r>
              <w:rPr>
                <w:color w:val="000000" w:themeColor="text1"/>
                <w:lang w:val="fr"/>
                <w14:textFill>
                  <w14:solidFill>
                    <w14:schemeClr w14:val="tx1"/>
                  </w14:solidFill>
                </w14:textFill>
              </w:rPr>
              <w:t xml:space="preserve"> </w:t>
            </w:r>
          </w:p>
        </w:tc>
        <w:tc>
          <w:tcPr>
            <w:tcW w:w="900" w:type="dxa"/>
            <w:tcBorders>
              <w:top w:val="nil"/>
              <w:left w:val="single" w:color="000000" w:themeColor="text1" w:sz="8" w:space="0"/>
              <w:bottom w:val="single" w:color="000000" w:themeColor="text1" w:sz="8" w:space="0"/>
              <w:right w:val="nil"/>
            </w:tcBorders>
            <w:tcMar>
              <w:top w:w="15" w:type="dxa"/>
              <w:left w:w="15" w:type="dxa"/>
              <w:bottom w:w="15" w:type="dxa"/>
              <w:right w:w="15" w:type="dxa"/>
            </w:tcMar>
          </w:tcPr>
          <w:p w14:paraId="76836536">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Format</w:t>
            </w:r>
            <w:r>
              <w:rPr>
                <w:color w:val="000000" w:themeColor="text1"/>
                <w:lang w:val="fr"/>
                <w14:textFill>
                  <w14:solidFill>
                    <w14:schemeClr w14:val="tx1"/>
                  </w14:solidFill>
                </w14:textFill>
              </w:rPr>
              <w:t xml:space="preserve"> </w:t>
            </w:r>
          </w:p>
        </w:tc>
        <w:tc>
          <w:tcPr>
            <w:tcW w:w="1170" w:type="dxa"/>
            <w:tcBorders>
              <w:top w:val="nil"/>
              <w:left w:val="single" w:color="000000" w:themeColor="text1" w:sz="8" w:space="0"/>
              <w:bottom w:val="single" w:color="000000" w:themeColor="text1" w:sz="8" w:space="0"/>
              <w:right w:val="nil"/>
            </w:tcBorders>
            <w:tcMar>
              <w:top w:w="15" w:type="dxa"/>
              <w:left w:w="15" w:type="dxa"/>
              <w:bottom w:w="15" w:type="dxa"/>
              <w:right w:w="15" w:type="dxa"/>
            </w:tcMar>
          </w:tcPr>
          <w:p w14:paraId="378D2B8B">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Papier intérieur</w:t>
            </w:r>
            <w:r>
              <w:rPr>
                <w:color w:val="000000" w:themeColor="text1"/>
                <w:lang w:val="fr"/>
                <w14:textFill>
                  <w14:solidFill>
                    <w14:schemeClr w14:val="tx1"/>
                  </w14:solidFill>
                </w14:textFill>
              </w:rPr>
              <w:t xml:space="preserve"> </w:t>
            </w:r>
          </w:p>
        </w:tc>
        <w:tc>
          <w:tcPr>
            <w:tcW w:w="1260" w:type="dxa"/>
            <w:tcBorders>
              <w:top w:val="nil"/>
              <w:left w:val="single" w:color="000000" w:themeColor="text1" w:sz="8" w:space="0"/>
              <w:bottom w:val="single" w:color="000000" w:themeColor="text1" w:sz="8" w:space="0"/>
              <w:right w:val="nil"/>
            </w:tcBorders>
            <w:tcMar>
              <w:top w:w="15" w:type="dxa"/>
              <w:left w:w="15" w:type="dxa"/>
              <w:bottom w:w="15" w:type="dxa"/>
              <w:right w:w="15" w:type="dxa"/>
            </w:tcMar>
          </w:tcPr>
          <w:p w14:paraId="22661804">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Couverture</w:t>
            </w:r>
            <w:r>
              <w:rPr>
                <w:color w:val="000000" w:themeColor="text1"/>
                <w:lang w:val="fr"/>
                <w14:textFill>
                  <w14:solidFill>
                    <w14:schemeClr w14:val="tx1"/>
                  </w14:solidFill>
                </w14:textFill>
              </w:rPr>
              <w:t xml:space="preserve"> </w:t>
            </w:r>
          </w:p>
        </w:tc>
        <w:tc>
          <w:tcPr>
            <w:tcW w:w="1080" w:type="dxa"/>
            <w:tcBorders>
              <w:top w:val="nil"/>
              <w:left w:val="single" w:color="000000" w:themeColor="text1" w:sz="8" w:space="0"/>
              <w:bottom w:val="single" w:color="000000" w:themeColor="text1" w:sz="8" w:space="0"/>
              <w:right w:val="nil"/>
            </w:tcBorders>
            <w:tcMar>
              <w:top w:w="15" w:type="dxa"/>
              <w:left w:w="15" w:type="dxa"/>
              <w:bottom w:w="15" w:type="dxa"/>
              <w:right w:w="15" w:type="dxa"/>
            </w:tcMar>
          </w:tcPr>
          <w:p w14:paraId="425E7A9E">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Couleurs intérieur/ couverture</w:t>
            </w:r>
            <w:r>
              <w:rPr>
                <w:color w:val="000000" w:themeColor="text1"/>
                <w:lang w:val="fr"/>
                <w14:textFill>
                  <w14:solidFill>
                    <w14:schemeClr w14:val="tx1"/>
                  </w14:solidFill>
                </w14:textFill>
              </w:rPr>
              <w:t xml:space="preserve"> </w:t>
            </w:r>
          </w:p>
        </w:tc>
        <w:tc>
          <w:tcPr>
            <w:tcW w:w="1080" w:type="dxa"/>
            <w:tcBorders>
              <w:top w:val="nil"/>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14:paraId="6AF98F9E">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Reliure</w:t>
            </w:r>
            <w:r>
              <w:rPr>
                <w:color w:val="000000" w:themeColor="text1"/>
                <w:lang w:val="fr"/>
                <w14:textFill>
                  <w14:solidFill>
                    <w14:schemeClr w14:val="tx1"/>
                  </w14:solidFill>
                </w14:textFill>
              </w:rPr>
              <w:t xml:space="preserve"> </w:t>
            </w:r>
          </w:p>
        </w:tc>
        <w:tc>
          <w:tcPr>
            <w:tcW w:w="990" w:type="dxa"/>
            <w:vMerge w:val="continue"/>
            <w:vAlign w:val="center"/>
          </w:tcPr>
          <w:p w14:paraId="68D0B196">
            <w:pPr>
              <w:contextualSpacing/>
            </w:pPr>
          </w:p>
        </w:tc>
      </w:tr>
      <w:tr w14:paraId="0E5FCB3B">
        <w:tblPrEx>
          <w:tblCellMar>
            <w:top w:w="0" w:type="dxa"/>
            <w:left w:w="108" w:type="dxa"/>
            <w:bottom w:w="0" w:type="dxa"/>
            <w:right w:w="108" w:type="dxa"/>
          </w:tblCellMar>
        </w:tblPrEx>
        <w:trPr>
          <w:trHeight w:val="945" w:hRule="atLeast"/>
        </w:trPr>
        <w:tc>
          <w:tcPr>
            <w:tcW w:w="900" w:type="dxa"/>
            <w:tcBorders>
              <w:top w:val="nil"/>
              <w:left w:val="single" w:color="000000" w:themeColor="text1" w:sz="8" w:space="0"/>
              <w:bottom w:val="single" w:color="000000" w:themeColor="text1" w:sz="8" w:space="0"/>
              <w:right w:val="nil"/>
            </w:tcBorders>
            <w:tcMar>
              <w:top w:w="15" w:type="dxa"/>
              <w:left w:w="15" w:type="dxa"/>
              <w:bottom w:w="15" w:type="dxa"/>
              <w:right w:w="15" w:type="dxa"/>
            </w:tcMar>
          </w:tcPr>
          <w:p w14:paraId="3FE63CD7">
            <w:pPr>
              <w:pStyle w:val="29"/>
              <w:numPr>
                <w:ilvl w:val="0"/>
                <w:numId w:val="5"/>
              </w:numPr>
              <w:spacing w:after="0" w:line="240" w:lineRule="auto"/>
              <w:ind w:left="945"/>
              <w:rPr>
                <w:rFonts w:ascii="Times New Roman" w:hAnsi="Times New Roman" w:eastAsia="Times New Roman" w:cs="Times New Roman"/>
                <w:color w:val="000000" w:themeColor="text1"/>
                <w:sz w:val="24"/>
                <w:szCs w:val="24"/>
                <w:lang w:val="fr"/>
                <w14:textFill>
                  <w14:solidFill>
                    <w14:schemeClr w14:val="tx1"/>
                  </w14:solidFill>
                </w14:textFill>
              </w:rPr>
            </w:pPr>
            <w:r>
              <w:rPr>
                <w:rFonts w:ascii="Times New Roman" w:hAnsi="Times New Roman" w:eastAsia="Times New Roman" w:cs="Times New Roman"/>
                <w:color w:val="000000" w:themeColor="text1"/>
                <w:sz w:val="24"/>
                <w:szCs w:val="24"/>
                <w:lang w:val="fr"/>
                <w14:textFill>
                  <w14:solidFill>
                    <w14:schemeClr w14:val="tx1"/>
                  </w14:solidFill>
                </w14:textFill>
              </w:rPr>
              <w:t xml:space="preserve">  </w:t>
            </w:r>
          </w:p>
        </w:tc>
        <w:tc>
          <w:tcPr>
            <w:tcW w:w="99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344390B0">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Arabe manuel</w:t>
            </w:r>
            <w:r>
              <w:rPr>
                <w:color w:val="000000" w:themeColor="text1"/>
                <w:lang w:val="fr"/>
                <w14:textFill>
                  <w14:solidFill>
                    <w14:schemeClr w14:val="tx1"/>
                  </w14:solidFill>
                </w14:textFill>
              </w:rPr>
              <w:t xml:space="preserve"> </w:t>
            </w:r>
          </w:p>
          <w:p w14:paraId="598ACCFC">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092A653F">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1erAF</w:t>
            </w:r>
            <w:r>
              <w:rPr>
                <w:color w:val="000000" w:themeColor="text1"/>
                <w:lang w:val="fr"/>
                <w14:textFill>
                  <w14:solidFill>
                    <w14:schemeClr w14:val="tx1"/>
                  </w14:solidFill>
                </w14:textFill>
              </w:rPr>
              <w:t xml:space="preserve"> </w:t>
            </w:r>
          </w:p>
        </w:tc>
        <w:tc>
          <w:tcPr>
            <w:tcW w:w="72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13E78968">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120</w:t>
            </w:r>
          </w:p>
        </w:tc>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0C23BCD4">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A4 </w:t>
            </w:r>
          </w:p>
        </w:tc>
        <w:tc>
          <w:tcPr>
            <w:tcW w:w="117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7EB61FB6">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Papier blanc sans bois 80g/m2 CMJN</w:t>
            </w:r>
          </w:p>
          <w:p w14:paraId="04A23012">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126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2F23459C">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A3+ 300g / m2 couché d’une seule face</w:t>
            </w:r>
          </w:p>
          <w:p w14:paraId="1007895E">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Quadri d’une seule face</w:t>
            </w:r>
          </w:p>
        </w:tc>
        <w:tc>
          <w:tcPr>
            <w:tcW w:w="108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01925C4C">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Sans couleur</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14:paraId="6D85F0BD">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Dos carré collé (collé dorsale et latérale)</w:t>
            </w:r>
          </w:p>
        </w:tc>
        <w:tc>
          <w:tcPr>
            <w:tcW w:w="990" w:type="dxa"/>
            <w:tcBorders>
              <w:top w:val="nil"/>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14:paraId="36A4B9ED">
            <w:pPr>
              <w:contextualSpacing/>
              <w:jc w:val="right"/>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4000</w:t>
            </w:r>
            <w:r>
              <w:rPr>
                <w:color w:val="000000" w:themeColor="text1"/>
                <w:lang w:val="fr"/>
                <w14:textFill>
                  <w14:solidFill>
                    <w14:schemeClr w14:val="tx1"/>
                  </w14:solidFill>
                </w14:textFill>
              </w:rPr>
              <w:t xml:space="preserve"> </w:t>
            </w:r>
          </w:p>
        </w:tc>
      </w:tr>
      <w:tr w14:paraId="1E651164">
        <w:tblPrEx>
          <w:tblCellMar>
            <w:top w:w="0" w:type="dxa"/>
            <w:left w:w="108" w:type="dxa"/>
            <w:bottom w:w="0" w:type="dxa"/>
            <w:right w:w="108" w:type="dxa"/>
          </w:tblCellMar>
        </w:tblPrEx>
        <w:trPr>
          <w:trHeight w:val="945" w:hRule="atLeast"/>
        </w:trPr>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2B038762">
            <w:pPr>
              <w:pStyle w:val="29"/>
              <w:numPr>
                <w:ilvl w:val="0"/>
                <w:numId w:val="6"/>
              </w:numPr>
              <w:spacing w:after="0" w:line="240" w:lineRule="auto"/>
              <w:ind w:left="945"/>
              <w:rPr>
                <w:rFonts w:ascii="Times New Roman" w:hAnsi="Times New Roman" w:eastAsia="Times New Roman" w:cs="Times New Roman"/>
                <w:color w:val="000000" w:themeColor="text1"/>
                <w:sz w:val="24"/>
                <w:szCs w:val="24"/>
                <w:lang w:val="fr"/>
                <w14:textFill>
                  <w14:solidFill>
                    <w14:schemeClr w14:val="tx1"/>
                  </w14:solidFill>
                </w14:textFill>
              </w:rPr>
            </w:pPr>
            <w:r>
              <w:rPr>
                <w:rFonts w:ascii="Times New Roman" w:hAnsi="Times New Roman" w:eastAsia="Times New Roman" w:cs="Times New Roman"/>
                <w:color w:val="000000" w:themeColor="text1"/>
                <w:sz w:val="24"/>
                <w:szCs w:val="24"/>
                <w:lang w:val="fr"/>
                <w14:textFill>
                  <w14:solidFill>
                    <w14:schemeClr w14:val="tx1"/>
                  </w14:solidFill>
                </w14:textFill>
              </w:rPr>
              <w:t xml:space="preserve">  </w:t>
            </w:r>
          </w:p>
        </w:tc>
        <w:tc>
          <w:tcPr>
            <w:tcW w:w="99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369BCD26">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Arabe</w:t>
            </w:r>
            <w:r>
              <w:rPr>
                <w:color w:val="000000" w:themeColor="text1"/>
                <w:lang w:val="fr"/>
                <w14:textFill>
                  <w14:solidFill>
                    <w14:schemeClr w14:val="tx1"/>
                  </w14:solidFill>
                </w14:textFill>
              </w:rPr>
              <w:t xml:space="preserve"> </w:t>
            </w:r>
          </w:p>
          <w:p w14:paraId="6F09031B">
            <w:pPr>
              <w:contextualSpacing/>
              <w:rPr>
                <w:color w:val="000000" w:themeColor="text1"/>
                <w14:textFill>
                  <w14:solidFill>
                    <w14:schemeClr w14:val="tx1"/>
                  </w14:solidFill>
                </w14:textFill>
              </w:rPr>
            </w:pPr>
            <w:r>
              <w:rPr>
                <w:b/>
                <w:bCs/>
                <w:color w:val="000000" w:themeColor="text1"/>
                <w14:textFill>
                  <w14:solidFill>
                    <w14:schemeClr w14:val="tx1"/>
                  </w14:solidFill>
                </w14:textFill>
              </w:rPr>
              <w:t>guide</w:t>
            </w:r>
            <w:r>
              <w:rPr>
                <w:color w:val="000000" w:themeColor="text1"/>
                <w14:textFill>
                  <w14:solidFill>
                    <w14:schemeClr w14:val="tx1"/>
                  </w14:solidFill>
                </w14:textFill>
              </w:rPr>
              <w:t xml:space="preserve"> </w:t>
            </w:r>
          </w:p>
          <w:p w14:paraId="2DBB765D">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6B4567F6">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1erAF</w:t>
            </w:r>
            <w:r>
              <w:rPr>
                <w:color w:val="000000" w:themeColor="text1"/>
                <w:lang w:val="fr"/>
                <w14:textFill>
                  <w14:solidFill>
                    <w14:schemeClr w14:val="tx1"/>
                  </w14:solidFill>
                </w14:textFill>
              </w:rPr>
              <w:t xml:space="preserve"> </w:t>
            </w:r>
          </w:p>
          <w:p w14:paraId="6FADEE79">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72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75C685A1">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112</w:t>
            </w:r>
          </w:p>
        </w:tc>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70E4AE72">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A4</w:t>
            </w:r>
          </w:p>
        </w:tc>
        <w:tc>
          <w:tcPr>
            <w:tcW w:w="117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15535611">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Papier blanc sans bois 70g/m2 en noir  </w:t>
            </w:r>
          </w:p>
        </w:tc>
        <w:tc>
          <w:tcPr>
            <w:tcW w:w="126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59B943FA">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A3+ 250g/m2 couché d’une seule face quadri d’une seule face</w:t>
            </w:r>
          </w:p>
        </w:tc>
        <w:tc>
          <w:tcPr>
            <w:tcW w:w="108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19DD4717">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Sans couleur</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14:paraId="1D740780">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Dos carré (collé dorsale et latérale)</w:t>
            </w:r>
          </w:p>
        </w:tc>
        <w:tc>
          <w:tcPr>
            <w:tcW w:w="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14:paraId="11545C3E">
            <w:pPr>
              <w:contextualSpacing/>
              <w:jc w:val="right"/>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120</w:t>
            </w:r>
            <w:r>
              <w:rPr>
                <w:color w:val="000000" w:themeColor="text1"/>
                <w:lang w:val="fr"/>
                <w14:textFill>
                  <w14:solidFill>
                    <w14:schemeClr w14:val="tx1"/>
                  </w14:solidFill>
                </w14:textFill>
              </w:rPr>
              <w:t xml:space="preserve"> </w:t>
            </w:r>
          </w:p>
        </w:tc>
      </w:tr>
      <w:tr w14:paraId="4FB25CBF">
        <w:tblPrEx>
          <w:tblCellMar>
            <w:top w:w="0" w:type="dxa"/>
            <w:left w:w="108" w:type="dxa"/>
            <w:bottom w:w="0" w:type="dxa"/>
            <w:right w:w="108" w:type="dxa"/>
          </w:tblCellMar>
        </w:tblPrEx>
        <w:trPr>
          <w:trHeight w:val="645" w:hRule="atLeast"/>
        </w:trPr>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33CF317D">
            <w:pPr>
              <w:pStyle w:val="29"/>
              <w:numPr>
                <w:ilvl w:val="0"/>
                <w:numId w:val="7"/>
              </w:numPr>
              <w:spacing w:after="0" w:line="240" w:lineRule="auto"/>
              <w:ind w:left="945"/>
              <w:rPr>
                <w:rFonts w:ascii="Times New Roman" w:hAnsi="Times New Roman" w:eastAsia="Times New Roman" w:cs="Times New Roman"/>
                <w:color w:val="000000" w:themeColor="text1"/>
                <w:sz w:val="24"/>
                <w:szCs w:val="24"/>
                <w:lang w:val="fr"/>
                <w14:textFill>
                  <w14:solidFill>
                    <w14:schemeClr w14:val="tx1"/>
                  </w14:solidFill>
                </w14:textFill>
              </w:rPr>
            </w:pPr>
            <w:r>
              <w:rPr>
                <w:rFonts w:ascii="Times New Roman" w:hAnsi="Times New Roman" w:eastAsia="Times New Roman" w:cs="Times New Roman"/>
                <w:color w:val="000000" w:themeColor="text1"/>
                <w:sz w:val="24"/>
                <w:szCs w:val="24"/>
                <w:lang w:val="fr"/>
                <w14:textFill>
                  <w14:solidFill>
                    <w14:schemeClr w14:val="tx1"/>
                  </w14:solidFill>
                </w14:textFill>
              </w:rPr>
              <w:t xml:space="preserve">  </w:t>
            </w:r>
          </w:p>
        </w:tc>
        <w:tc>
          <w:tcPr>
            <w:tcW w:w="99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233D6991">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Français manuel</w:t>
            </w:r>
            <w:r>
              <w:rPr>
                <w:color w:val="000000" w:themeColor="text1"/>
                <w:lang w:val="fr"/>
                <w14:textFill>
                  <w14:solidFill>
                    <w14:schemeClr w14:val="tx1"/>
                  </w14:solidFill>
                </w14:textFill>
              </w:rPr>
              <w:t xml:space="preserve"> </w:t>
            </w:r>
          </w:p>
        </w:tc>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3868F043">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2emeAF</w:t>
            </w:r>
            <w:r>
              <w:rPr>
                <w:color w:val="000000" w:themeColor="text1"/>
                <w:lang w:val="fr"/>
                <w14:textFill>
                  <w14:solidFill>
                    <w14:schemeClr w14:val="tx1"/>
                  </w14:solidFill>
                </w14:textFill>
              </w:rPr>
              <w:t xml:space="preserve"> </w:t>
            </w:r>
          </w:p>
        </w:tc>
        <w:tc>
          <w:tcPr>
            <w:tcW w:w="72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799ADA68">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96</w:t>
            </w:r>
          </w:p>
        </w:tc>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0A352848">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A4</w:t>
            </w:r>
          </w:p>
        </w:tc>
        <w:tc>
          <w:tcPr>
            <w:tcW w:w="117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3A3F4EFF">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Papier blanc sans bois 80g/m2 CMJN</w:t>
            </w:r>
          </w:p>
        </w:tc>
        <w:tc>
          <w:tcPr>
            <w:tcW w:w="126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51584D97">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A3+ 300g/m2 couché d’une seule face</w:t>
            </w:r>
          </w:p>
          <w:p w14:paraId="7F07EB20">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Quadri d’une seule face</w:t>
            </w:r>
          </w:p>
        </w:tc>
        <w:tc>
          <w:tcPr>
            <w:tcW w:w="108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2B5D9A9B">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Sans couleur</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14:paraId="102835B9">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Dos carré collé (collé dorsale et latérale)</w:t>
            </w:r>
          </w:p>
        </w:tc>
        <w:tc>
          <w:tcPr>
            <w:tcW w:w="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14:paraId="4CAB22BE">
            <w:pPr>
              <w:contextualSpacing/>
              <w:jc w:val="right"/>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4000</w:t>
            </w:r>
            <w:r>
              <w:rPr>
                <w:color w:val="000000" w:themeColor="text1"/>
                <w:lang w:val="fr"/>
                <w14:textFill>
                  <w14:solidFill>
                    <w14:schemeClr w14:val="tx1"/>
                  </w14:solidFill>
                </w14:textFill>
              </w:rPr>
              <w:t xml:space="preserve"> </w:t>
            </w:r>
          </w:p>
        </w:tc>
      </w:tr>
      <w:tr w14:paraId="00ADC5A3">
        <w:tblPrEx>
          <w:tblCellMar>
            <w:top w:w="0" w:type="dxa"/>
            <w:left w:w="108" w:type="dxa"/>
            <w:bottom w:w="0" w:type="dxa"/>
            <w:right w:w="108" w:type="dxa"/>
          </w:tblCellMar>
        </w:tblPrEx>
        <w:trPr>
          <w:trHeight w:val="945" w:hRule="atLeast"/>
        </w:trPr>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65E04A01">
            <w:pPr>
              <w:pStyle w:val="29"/>
              <w:numPr>
                <w:ilvl w:val="0"/>
                <w:numId w:val="8"/>
              </w:numPr>
              <w:spacing w:after="0" w:line="240" w:lineRule="auto"/>
              <w:ind w:left="945"/>
              <w:rPr>
                <w:rFonts w:ascii="Times New Roman" w:hAnsi="Times New Roman" w:eastAsia="Times New Roman" w:cs="Times New Roman"/>
                <w:color w:val="000000" w:themeColor="text1"/>
                <w:sz w:val="24"/>
                <w:szCs w:val="24"/>
                <w:lang w:val="fr"/>
                <w14:textFill>
                  <w14:solidFill>
                    <w14:schemeClr w14:val="tx1"/>
                  </w14:solidFill>
                </w14:textFill>
              </w:rPr>
            </w:pPr>
            <w:r>
              <w:rPr>
                <w:rFonts w:ascii="Times New Roman" w:hAnsi="Times New Roman" w:eastAsia="Times New Roman" w:cs="Times New Roman"/>
                <w:color w:val="000000" w:themeColor="text1"/>
                <w:sz w:val="24"/>
                <w:szCs w:val="24"/>
                <w:lang w:val="fr"/>
                <w14:textFill>
                  <w14:solidFill>
                    <w14:schemeClr w14:val="tx1"/>
                  </w14:solidFill>
                </w14:textFill>
              </w:rPr>
              <w:t xml:space="preserve">  </w:t>
            </w:r>
          </w:p>
        </w:tc>
        <w:tc>
          <w:tcPr>
            <w:tcW w:w="99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6D0CEE75">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Français guide</w:t>
            </w:r>
            <w:r>
              <w:rPr>
                <w:color w:val="000000" w:themeColor="text1"/>
                <w:lang w:val="fr"/>
                <w14:textFill>
                  <w14:solidFill>
                    <w14:schemeClr w14:val="tx1"/>
                  </w14:solidFill>
                </w14:textFill>
              </w:rPr>
              <w:t xml:space="preserve"> </w:t>
            </w:r>
          </w:p>
          <w:p w14:paraId="36A6AB29">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3E743874">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2emeAF</w:t>
            </w:r>
            <w:r>
              <w:rPr>
                <w:color w:val="000000" w:themeColor="text1"/>
                <w:lang w:val="fr"/>
                <w14:textFill>
                  <w14:solidFill>
                    <w14:schemeClr w14:val="tx1"/>
                  </w14:solidFill>
                </w14:textFill>
              </w:rPr>
              <w:t xml:space="preserve"> </w:t>
            </w:r>
          </w:p>
          <w:p w14:paraId="1A1AB762">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72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50B45E23">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141</w:t>
            </w:r>
          </w:p>
        </w:tc>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0E5E9A6F">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A4</w:t>
            </w:r>
          </w:p>
        </w:tc>
        <w:tc>
          <w:tcPr>
            <w:tcW w:w="117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47AC26FE">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Papier blanc sans bois 70g/m2 en noir  </w:t>
            </w:r>
          </w:p>
        </w:tc>
        <w:tc>
          <w:tcPr>
            <w:tcW w:w="126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211FFE40">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A3+ 250g/m2 couché d’une seule face quadri d’une seule face</w:t>
            </w:r>
          </w:p>
        </w:tc>
        <w:tc>
          <w:tcPr>
            <w:tcW w:w="108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4CABAA57">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Sans couleur</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14:paraId="263787EE">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Dos carré collé (collé dorsale et latérale)</w:t>
            </w:r>
          </w:p>
        </w:tc>
        <w:tc>
          <w:tcPr>
            <w:tcW w:w="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14:paraId="42645DC6">
            <w:pPr>
              <w:contextualSpacing/>
              <w:jc w:val="right"/>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120</w:t>
            </w:r>
            <w:r>
              <w:rPr>
                <w:color w:val="000000" w:themeColor="text1"/>
                <w:lang w:val="fr"/>
                <w14:textFill>
                  <w14:solidFill>
                    <w14:schemeClr w14:val="tx1"/>
                  </w14:solidFill>
                </w14:textFill>
              </w:rPr>
              <w:t xml:space="preserve"> </w:t>
            </w:r>
          </w:p>
        </w:tc>
      </w:tr>
      <w:tr w14:paraId="2317ACD8">
        <w:tblPrEx>
          <w:tblCellMar>
            <w:top w:w="0" w:type="dxa"/>
            <w:left w:w="108" w:type="dxa"/>
            <w:bottom w:w="0" w:type="dxa"/>
            <w:right w:w="108" w:type="dxa"/>
          </w:tblCellMar>
        </w:tblPrEx>
        <w:trPr>
          <w:trHeight w:val="945" w:hRule="atLeast"/>
        </w:trPr>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514CD75E">
            <w:pPr>
              <w:pStyle w:val="29"/>
              <w:numPr>
                <w:ilvl w:val="0"/>
                <w:numId w:val="9"/>
              </w:numPr>
              <w:spacing w:after="0" w:line="240" w:lineRule="auto"/>
              <w:ind w:left="945"/>
              <w:rPr>
                <w:rFonts w:ascii="Times New Roman" w:hAnsi="Times New Roman" w:eastAsia="Times New Roman" w:cs="Times New Roman"/>
                <w:color w:val="000000" w:themeColor="text1"/>
                <w:sz w:val="24"/>
                <w:szCs w:val="24"/>
                <w:lang w:val="fr"/>
                <w14:textFill>
                  <w14:solidFill>
                    <w14:schemeClr w14:val="tx1"/>
                  </w14:solidFill>
                </w14:textFill>
              </w:rPr>
            </w:pPr>
            <w:r>
              <w:rPr>
                <w:rFonts w:ascii="Times New Roman" w:hAnsi="Times New Roman" w:eastAsia="Times New Roman" w:cs="Times New Roman"/>
                <w:color w:val="000000" w:themeColor="text1"/>
                <w:sz w:val="24"/>
                <w:szCs w:val="24"/>
                <w:lang w:val="fr"/>
                <w14:textFill>
                  <w14:solidFill>
                    <w14:schemeClr w14:val="tx1"/>
                  </w14:solidFill>
                </w14:textFill>
              </w:rPr>
              <w:t xml:space="preserve">  </w:t>
            </w:r>
          </w:p>
        </w:tc>
        <w:tc>
          <w:tcPr>
            <w:tcW w:w="99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40B6668C">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Arabe manuel</w:t>
            </w:r>
            <w:r>
              <w:rPr>
                <w:color w:val="000000" w:themeColor="text1"/>
                <w:lang w:val="fr"/>
                <w14:textFill>
                  <w14:solidFill>
                    <w14:schemeClr w14:val="tx1"/>
                  </w14:solidFill>
                </w14:textFill>
              </w:rPr>
              <w:t xml:space="preserve"> </w:t>
            </w:r>
          </w:p>
          <w:p w14:paraId="24E1EB27">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7E603501">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2emeAF</w:t>
            </w:r>
            <w:r>
              <w:rPr>
                <w:color w:val="000000" w:themeColor="text1"/>
                <w:lang w:val="fr"/>
                <w14:textFill>
                  <w14:solidFill>
                    <w14:schemeClr w14:val="tx1"/>
                  </w14:solidFill>
                </w14:textFill>
              </w:rPr>
              <w:t xml:space="preserve"> </w:t>
            </w:r>
          </w:p>
          <w:p w14:paraId="6C202245">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72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44CC08DE">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134</w:t>
            </w:r>
          </w:p>
        </w:tc>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5E175E0A">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A4</w:t>
            </w:r>
          </w:p>
        </w:tc>
        <w:tc>
          <w:tcPr>
            <w:tcW w:w="117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1F6DA240">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Papier blanc sans bois 80g/m2 CMJN</w:t>
            </w:r>
          </w:p>
          <w:p w14:paraId="00D3B0BE">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126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28AEBF9C">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A3+ 300g/m2 couché d’une seule face</w:t>
            </w:r>
          </w:p>
          <w:p w14:paraId="30ACF4B5">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Quadri d’une seule face</w:t>
            </w:r>
          </w:p>
        </w:tc>
        <w:tc>
          <w:tcPr>
            <w:tcW w:w="108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04A08E09">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Sans couleur</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14:paraId="7AFBF605">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Dos carré collé (collé dorsale et latérale)</w:t>
            </w:r>
          </w:p>
        </w:tc>
        <w:tc>
          <w:tcPr>
            <w:tcW w:w="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14:paraId="360F0072">
            <w:pPr>
              <w:contextualSpacing/>
              <w:jc w:val="right"/>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4000</w:t>
            </w:r>
            <w:r>
              <w:rPr>
                <w:color w:val="000000" w:themeColor="text1"/>
                <w:lang w:val="fr"/>
                <w14:textFill>
                  <w14:solidFill>
                    <w14:schemeClr w14:val="tx1"/>
                  </w14:solidFill>
                </w14:textFill>
              </w:rPr>
              <w:t xml:space="preserve"> </w:t>
            </w:r>
          </w:p>
        </w:tc>
      </w:tr>
      <w:tr w14:paraId="3C2FF43F">
        <w:tblPrEx>
          <w:tblCellMar>
            <w:top w:w="0" w:type="dxa"/>
            <w:left w:w="108" w:type="dxa"/>
            <w:bottom w:w="0" w:type="dxa"/>
            <w:right w:w="108" w:type="dxa"/>
          </w:tblCellMar>
        </w:tblPrEx>
        <w:trPr>
          <w:trHeight w:val="945" w:hRule="atLeast"/>
        </w:trPr>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67F6D54F">
            <w:pPr>
              <w:pStyle w:val="29"/>
              <w:numPr>
                <w:ilvl w:val="0"/>
                <w:numId w:val="10"/>
              </w:numPr>
              <w:spacing w:after="0" w:line="240" w:lineRule="auto"/>
              <w:ind w:left="945"/>
              <w:rPr>
                <w:rFonts w:ascii="Times New Roman" w:hAnsi="Times New Roman" w:eastAsia="Times New Roman" w:cs="Times New Roman"/>
                <w:color w:val="000000" w:themeColor="text1"/>
                <w:sz w:val="24"/>
                <w:szCs w:val="24"/>
                <w:lang w:val="fr"/>
                <w14:textFill>
                  <w14:solidFill>
                    <w14:schemeClr w14:val="tx1"/>
                  </w14:solidFill>
                </w14:textFill>
              </w:rPr>
            </w:pPr>
            <w:r>
              <w:rPr>
                <w:rFonts w:ascii="Times New Roman" w:hAnsi="Times New Roman" w:eastAsia="Times New Roman" w:cs="Times New Roman"/>
                <w:color w:val="000000" w:themeColor="text1"/>
                <w:sz w:val="24"/>
                <w:szCs w:val="24"/>
                <w:lang w:val="fr"/>
                <w14:textFill>
                  <w14:solidFill>
                    <w14:schemeClr w14:val="tx1"/>
                  </w14:solidFill>
                </w14:textFill>
              </w:rPr>
              <w:t xml:space="preserve">  </w:t>
            </w:r>
          </w:p>
        </w:tc>
        <w:tc>
          <w:tcPr>
            <w:tcW w:w="99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7603F436">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Arabe guide</w:t>
            </w:r>
            <w:r>
              <w:rPr>
                <w:color w:val="000000" w:themeColor="text1"/>
                <w:lang w:val="fr"/>
                <w14:textFill>
                  <w14:solidFill>
                    <w14:schemeClr w14:val="tx1"/>
                  </w14:solidFill>
                </w14:textFill>
              </w:rPr>
              <w:t xml:space="preserve"> </w:t>
            </w:r>
          </w:p>
          <w:p w14:paraId="481049DD">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255CCD3C">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2emeAF</w:t>
            </w:r>
            <w:r>
              <w:rPr>
                <w:color w:val="000000" w:themeColor="text1"/>
                <w:lang w:val="fr"/>
                <w14:textFill>
                  <w14:solidFill>
                    <w14:schemeClr w14:val="tx1"/>
                  </w14:solidFill>
                </w14:textFill>
              </w:rPr>
              <w:t xml:space="preserve"> </w:t>
            </w:r>
          </w:p>
          <w:p w14:paraId="46C872F8">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72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78AF9602">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144</w:t>
            </w:r>
          </w:p>
        </w:tc>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78DE3098">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A4</w:t>
            </w:r>
          </w:p>
        </w:tc>
        <w:tc>
          <w:tcPr>
            <w:tcW w:w="117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4F6FADDF">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Papier blanc sans bois 70g/m2 en noir</w:t>
            </w:r>
          </w:p>
        </w:tc>
        <w:tc>
          <w:tcPr>
            <w:tcW w:w="126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0221C1C8">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A3+ 250g/m2 couché d’une seule face</w:t>
            </w:r>
          </w:p>
          <w:p w14:paraId="3061E107">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Quadri d’une seule face</w:t>
            </w:r>
          </w:p>
        </w:tc>
        <w:tc>
          <w:tcPr>
            <w:tcW w:w="108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3422319A">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Sans couleur</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14:paraId="4B50848B">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Dos carré collé (collé dorsale et latérale)</w:t>
            </w:r>
          </w:p>
        </w:tc>
        <w:tc>
          <w:tcPr>
            <w:tcW w:w="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14:paraId="19822D3C">
            <w:pPr>
              <w:contextualSpacing/>
              <w:jc w:val="right"/>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120</w:t>
            </w:r>
            <w:r>
              <w:rPr>
                <w:color w:val="000000" w:themeColor="text1"/>
                <w:lang w:val="fr"/>
                <w14:textFill>
                  <w14:solidFill>
                    <w14:schemeClr w14:val="tx1"/>
                  </w14:solidFill>
                </w14:textFill>
              </w:rPr>
              <w:t xml:space="preserve"> </w:t>
            </w:r>
          </w:p>
        </w:tc>
      </w:tr>
      <w:tr w14:paraId="08B3CA30">
        <w:tblPrEx>
          <w:tblCellMar>
            <w:top w:w="0" w:type="dxa"/>
            <w:left w:w="108" w:type="dxa"/>
            <w:bottom w:w="0" w:type="dxa"/>
            <w:right w:w="108" w:type="dxa"/>
          </w:tblCellMar>
        </w:tblPrEx>
        <w:trPr>
          <w:trHeight w:val="945" w:hRule="atLeast"/>
        </w:trPr>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7C375BE3">
            <w:pPr>
              <w:pStyle w:val="29"/>
              <w:numPr>
                <w:ilvl w:val="0"/>
                <w:numId w:val="11"/>
              </w:numPr>
              <w:spacing w:after="0" w:line="240" w:lineRule="auto"/>
              <w:ind w:left="945"/>
              <w:rPr>
                <w:rFonts w:ascii="Times New Roman" w:hAnsi="Times New Roman" w:eastAsia="Times New Roman" w:cs="Times New Roman"/>
                <w:color w:val="000000" w:themeColor="text1"/>
                <w:sz w:val="24"/>
                <w:szCs w:val="24"/>
                <w:lang w:val="fr"/>
                <w14:textFill>
                  <w14:solidFill>
                    <w14:schemeClr w14:val="tx1"/>
                  </w14:solidFill>
                </w14:textFill>
              </w:rPr>
            </w:pPr>
            <w:r>
              <w:rPr>
                <w:rFonts w:ascii="Times New Roman" w:hAnsi="Times New Roman" w:eastAsia="Times New Roman" w:cs="Times New Roman"/>
                <w:color w:val="000000" w:themeColor="text1"/>
                <w:sz w:val="24"/>
                <w:szCs w:val="24"/>
                <w:lang w:val="fr"/>
                <w14:textFill>
                  <w14:solidFill>
                    <w14:schemeClr w14:val="tx1"/>
                  </w14:solidFill>
                </w14:textFill>
              </w:rPr>
              <w:t xml:space="preserve">  </w:t>
            </w:r>
          </w:p>
        </w:tc>
        <w:tc>
          <w:tcPr>
            <w:tcW w:w="99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064F7A69">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Français manuel</w:t>
            </w:r>
            <w:r>
              <w:rPr>
                <w:color w:val="000000" w:themeColor="text1"/>
                <w:lang w:val="fr"/>
                <w14:textFill>
                  <w14:solidFill>
                    <w14:schemeClr w14:val="tx1"/>
                  </w14:solidFill>
                </w14:textFill>
              </w:rPr>
              <w:t xml:space="preserve"> </w:t>
            </w:r>
          </w:p>
          <w:p w14:paraId="31AFE785">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39302024">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3emeAF</w:t>
            </w:r>
            <w:r>
              <w:rPr>
                <w:color w:val="000000" w:themeColor="text1"/>
                <w:lang w:val="fr"/>
                <w14:textFill>
                  <w14:solidFill>
                    <w14:schemeClr w14:val="tx1"/>
                  </w14:solidFill>
                </w14:textFill>
              </w:rPr>
              <w:t xml:space="preserve"> </w:t>
            </w:r>
          </w:p>
        </w:tc>
        <w:tc>
          <w:tcPr>
            <w:tcW w:w="72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576EF1A5">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103</w:t>
            </w:r>
          </w:p>
        </w:tc>
        <w:tc>
          <w:tcPr>
            <w:tcW w:w="90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474528E2">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A4</w:t>
            </w:r>
          </w:p>
        </w:tc>
        <w:tc>
          <w:tcPr>
            <w:tcW w:w="117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0F56A1C4">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Papier blanc sans bois 80g/m2 CMJN</w:t>
            </w:r>
          </w:p>
          <w:p w14:paraId="4FEB4CE9">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126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0569698C">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A3+ 300g/m2 couché d’une seule face</w:t>
            </w:r>
          </w:p>
          <w:p w14:paraId="6F1D0D0D">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Quadri d’une seule face</w:t>
            </w:r>
          </w:p>
        </w:tc>
        <w:tc>
          <w:tcPr>
            <w:tcW w:w="1080" w:type="dxa"/>
            <w:tcBorders>
              <w:top w:val="single" w:color="000000" w:themeColor="text1" w:sz="8" w:space="0"/>
              <w:left w:val="single" w:color="000000" w:themeColor="text1" w:sz="8" w:space="0"/>
              <w:bottom w:val="single" w:color="000000" w:themeColor="text1" w:sz="8" w:space="0"/>
              <w:right w:val="nil"/>
            </w:tcBorders>
            <w:tcMar>
              <w:top w:w="15" w:type="dxa"/>
              <w:left w:w="15" w:type="dxa"/>
              <w:bottom w:w="15" w:type="dxa"/>
              <w:right w:w="15" w:type="dxa"/>
            </w:tcMar>
          </w:tcPr>
          <w:p w14:paraId="439D925F">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Sans couleur</w:t>
            </w:r>
          </w:p>
        </w:tc>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14:paraId="66F270B0">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Dos carré collé (collé dorsale et latérale)</w:t>
            </w:r>
          </w:p>
        </w:tc>
        <w:tc>
          <w:tcPr>
            <w:tcW w:w="9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15" w:type="dxa"/>
              <w:right w:w="15" w:type="dxa"/>
            </w:tcMar>
          </w:tcPr>
          <w:p w14:paraId="6BDF34BD">
            <w:pPr>
              <w:contextualSpacing/>
              <w:jc w:val="right"/>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4000</w:t>
            </w:r>
            <w:r>
              <w:rPr>
                <w:color w:val="000000" w:themeColor="text1"/>
                <w:lang w:val="fr"/>
                <w14:textFill>
                  <w14:solidFill>
                    <w14:schemeClr w14:val="tx1"/>
                  </w14:solidFill>
                </w14:textFill>
              </w:rPr>
              <w:t xml:space="preserve"> </w:t>
            </w:r>
          </w:p>
        </w:tc>
      </w:tr>
      <w:tr w14:paraId="5DAE1BD2">
        <w:tblPrEx>
          <w:tblCellMar>
            <w:top w:w="0" w:type="dxa"/>
            <w:left w:w="108" w:type="dxa"/>
            <w:bottom w:w="0" w:type="dxa"/>
            <w:right w:w="108" w:type="dxa"/>
          </w:tblCellMar>
        </w:tblPrEx>
        <w:trPr>
          <w:trHeight w:val="945" w:hRule="atLeast"/>
        </w:trPr>
        <w:tc>
          <w:tcPr>
            <w:tcW w:w="900" w:type="dxa"/>
            <w:tcBorders>
              <w:top w:val="single" w:color="000000" w:themeColor="text1" w:sz="8" w:space="0"/>
              <w:left w:val="single" w:color="000000" w:themeColor="text1" w:sz="8" w:space="0"/>
              <w:bottom w:val="single" w:color="auto" w:sz="8" w:space="0"/>
              <w:right w:val="nil"/>
            </w:tcBorders>
            <w:tcMar>
              <w:top w:w="15" w:type="dxa"/>
              <w:left w:w="15" w:type="dxa"/>
              <w:bottom w:w="15" w:type="dxa"/>
              <w:right w:w="15" w:type="dxa"/>
            </w:tcMar>
          </w:tcPr>
          <w:p w14:paraId="466B447A">
            <w:pPr>
              <w:pStyle w:val="29"/>
              <w:numPr>
                <w:ilvl w:val="0"/>
                <w:numId w:val="12"/>
              </w:numPr>
              <w:spacing w:after="0" w:line="240" w:lineRule="auto"/>
              <w:ind w:left="945"/>
              <w:rPr>
                <w:rFonts w:ascii="Times New Roman" w:hAnsi="Times New Roman" w:eastAsia="Times New Roman" w:cs="Times New Roman"/>
                <w:color w:val="000000" w:themeColor="text1"/>
                <w:sz w:val="24"/>
                <w:szCs w:val="24"/>
                <w:lang w:val="fr"/>
                <w14:textFill>
                  <w14:solidFill>
                    <w14:schemeClr w14:val="tx1"/>
                  </w14:solidFill>
                </w14:textFill>
              </w:rPr>
            </w:pPr>
            <w:r>
              <w:rPr>
                <w:rFonts w:ascii="Times New Roman" w:hAnsi="Times New Roman" w:eastAsia="Times New Roman" w:cs="Times New Roman"/>
                <w:color w:val="000000" w:themeColor="text1"/>
                <w:sz w:val="24"/>
                <w:szCs w:val="24"/>
                <w:lang w:val="fr"/>
                <w14:textFill>
                  <w14:solidFill>
                    <w14:schemeClr w14:val="tx1"/>
                  </w14:solidFill>
                </w14:textFill>
              </w:rPr>
              <w:t xml:space="preserve">  </w:t>
            </w:r>
          </w:p>
        </w:tc>
        <w:tc>
          <w:tcPr>
            <w:tcW w:w="990" w:type="dxa"/>
            <w:tcBorders>
              <w:top w:val="single" w:color="000000" w:themeColor="text1" w:sz="8" w:space="0"/>
              <w:left w:val="single" w:color="000000" w:themeColor="text1" w:sz="8" w:space="0"/>
              <w:bottom w:val="single" w:color="auto" w:sz="8" w:space="0"/>
              <w:right w:val="nil"/>
            </w:tcBorders>
            <w:tcMar>
              <w:top w:w="15" w:type="dxa"/>
              <w:left w:w="15" w:type="dxa"/>
              <w:bottom w:w="15" w:type="dxa"/>
              <w:right w:w="15" w:type="dxa"/>
            </w:tcMar>
          </w:tcPr>
          <w:p w14:paraId="18DECEC6">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Français guide</w:t>
            </w:r>
            <w:r>
              <w:rPr>
                <w:color w:val="000000" w:themeColor="text1"/>
                <w:lang w:val="fr"/>
                <w14:textFill>
                  <w14:solidFill>
                    <w14:schemeClr w14:val="tx1"/>
                  </w14:solidFill>
                </w14:textFill>
              </w:rPr>
              <w:t xml:space="preserve"> </w:t>
            </w:r>
          </w:p>
          <w:p w14:paraId="040AB879">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900" w:type="dxa"/>
            <w:tcBorders>
              <w:top w:val="single" w:color="000000" w:themeColor="text1" w:sz="8" w:space="0"/>
              <w:left w:val="single" w:color="000000" w:themeColor="text1" w:sz="8" w:space="0"/>
              <w:bottom w:val="single" w:color="auto" w:sz="8" w:space="0"/>
              <w:right w:val="nil"/>
            </w:tcBorders>
            <w:tcMar>
              <w:top w:w="15" w:type="dxa"/>
              <w:left w:w="15" w:type="dxa"/>
              <w:bottom w:w="15" w:type="dxa"/>
              <w:right w:w="15" w:type="dxa"/>
            </w:tcMar>
          </w:tcPr>
          <w:p w14:paraId="20C0C376">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3emeAF</w:t>
            </w:r>
            <w:r>
              <w:rPr>
                <w:color w:val="000000" w:themeColor="text1"/>
                <w:lang w:val="fr"/>
                <w14:textFill>
                  <w14:solidFill>
                    <w14:schemeClr w14:val="tx1"/>
                  </w14:solidFill>
                </w14:textFill>
              </w:rPr>
              <w:t xml:space="preserve"> </w:t>
            </w:r>
          </w:p>
          <w:p w14:paraId="59CA3C67">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720" w:type="dxa"/>
            <w:tcBorders>
              <w:top w:val="single" w:color="000000" w:themeColor="text1" w:sz="8" w:space="0"/>
              <w:left w:val="single" w:color="000000" w:themeColor="text1" w:sz="8" w:space="0"/>
              <w:bottom w:val="single" w:color="auto" w:sz="8" w:space="0"/>
              <w:right w:val="nil"/>
            </w:tcBorders>
            <w:tcMar>
              <w:top w:w="15" w:type="dxa"/>
              <w:left w:w="15" w:type="dxa"/>
              <w:bottom w:w="15" w:type="dxa"/>
              <w:right w:w="15" w:type="dxa"/>
            </w:tcMar>
          </w:tcPr>
          <w:p w14:paraId="4E933EF8">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138</w:t>
            </w:r>
          </w:p>
        </w:tc>
        <w:tc>
          <w:tcPr>
            <w:tcW w:w="900" w:type="dxa"/>
            <w:tcBorders>
              <w:top w:val="single" w:color="000000" w:themeColor="text1" w:sz="8" w:space="0"/>
              <w:left w:val="single" w:color="000000" w:themeColor="text1" w:sz="8" w:space="0"/>
              <w:bottom w:val="single" w:color="auto" w:sz="8" w:space="0"/>
              <w:right w:val="nil"/>
            </w:tcBorders>
            <w:tcMar>
              <w:top w:w="15" w:type="dxa"/>
              <w:left w:w="15" w:type="dxa"/>
              <w:bottom w:w="15" w:type="dxa"/>
              <w:right w:w="15" w:type="dxa"/>
            </w:tcMar>
          </w:tcPr>
          <w:p w14:paraId="5E29632D">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A4</w:t>
            </w:r>
          </w:p>
        </w:tc>
        <w:tc>
          <w:tcPr>
            <w:tcW w:w="1170" w:type="dxa"/>
            <w:tcBorders>
              <w:top w:val="single" w:color="000000" w:themeColor="text1" w:sz="8" w:space="0"/>
              <w:left w:val="single" w:color="000000" w:themeColor="text1" w:sz="8" w:space="0"/>
              <w:bottom w:val="single" w:color="auto" w:sz="8" w:space="0"/>
              <w:right w:val="nil"/>
            </w:tcBorders>
            <w:tcMar>
              <w:top w:w="15" w:type="dxa"/>
              <w:left w:w="15" w:type="dxa"/>
              <w:bottom w:w="15" w:type="dxa"/>
              <w:right w:w="15" w:type="dxa"/>
            </w:tcMar>
          </w:tcPr>
          <w:p w14:paraId="14F54BA8">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Papier blanc sans bois 70g/m2 en noir</w:t>
            </w:r>
          </w:p>
        </w:tc>
        <w:tc>
          <w:tcPr>
            <w:tcW w:w="1260" w:type="dxa"/>
            <w:tcBorders>
              <w:top w:val="single" w:color="000000" w:themeColor="text1" w:sz="8" w:space="0"/>
              <w:left w:val="single" w:color="000000" w:themeColor="text1" w:sz="8" w:space="0"/>
              <w:bottom w:val="single" w:color="auto" w:sz="8" w:space="0"/>
              <w:right w:val="nil"/>
            </w:tcBorders>
            <w:tcMar>
              <w:top w:w="15" w:type="dxa"/>
              <w:left w:w="15" w:type="dxa"/>
              <w:bottom w:w="15" w:type="dxa"/>
              <w:right w:w="15" w:type="dxa"/>
            </w:tcMar>
          </w:tcPr>
          <w:p w14:paraId="1A8E10F7">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A3+ 250g/m2 couché d’une seule face</w:t>
            </w:r>
          </w:p>
          <w:p w14:paraId="544A0180">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Quadri d’une seule face</w:t>
            </w:r>
          </w:p>
        </w:tc>
        <w:tc>
          <w:tcPr>
            <w:tcW w:w="1080" w:type="dxa"/>
            <w:tcBorders>
              <w:top w:val="single" w:color="000000" w:themeColor="text1" w:sz="8" w:space="0"/>
              <w:left w:val="single" w:color="000000" w:themeColor="text1" w:sz="8" w:space="0"/>
              <w:bottom w:val="single" w:color="auto" w:sz="8" w:space="0"/>
              <w:right w:val="nil"/>
            </w:tcBorders>
            <w:tcMar>
              <w:top w:w="15" w:type="dxa"/>
              <w:left w:w="15" w:type="dxa"/>
              <w:bottom w:w="15" w:type="dxa"/>
              <w:right w:w="15" w:type="dxa"/>
            </w:tcMar>
          </w:tcPr>
          <w:p w14:paraId="2AC6071C">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Sans couleur</w:t>
            </w:r>
          </w:p>
        </w:tc>
        <w:tc>
          <w:tcPr>
            <w:tcW w:w="1080" w:type="dxa"/>
            <w:tcBorders>
              <w:top w:val="single" w:color="000000" w:themeColor="text1" w:sz="8" w:space="0"/>
              <w:left w:val="single" w:color="000000" w:themeColor="text1" w:sz="8" w:space="0"/>
              <w:bottom w:val="single" w:color="auto" w:sz="8" w:space="0"/>
              <w:right w:val="single" w:color="000000" w:themeColor="text1" w:sz="8" w:space="0"/>
            </w:tcBorders>
            <w:tcMar>
              <w:top w:w="15" w:type="dxa"/>
              <w:left w:w="15" w:type="dxa"/>
              <w:bottom w:w="15" w:type="dxa"/>
              <w:right w:w="15" w:type="dxa"/>
            </w:tcMar>
          </w:tcPr>
          <w:p w14:paraId="2ED983A8">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Dos carré collé (collé dorsale et latérale)</w:t>
            </w:r>
          </w:p>
        </w:tc>
        <w:tc>
          <w:tcPr>
            <w:tcW w:w="990" w:type="dxa"/>
            <w:tcBorders>
              <w:top w:val="single" w:color="000000" w:themeColor="text1" w:sz="8" w:space="0"/>
              <w:left w:val="single" w:color="000000" w:themeColor="text1" w:sz="8" w:space="0"/>
              <w:bottom w:val="single" w:color="auto" w:sz="8" w:space="0"/>
              <w:right w:val="single" w:color="000000" w:themeColor="text1" w:sz="8" w:space="0"/>
            </w:tcBorders>
            <w:tcMar>
              <w:top w:w="15" w:type="dxa"/>
              <w:left w:w="15" w:type="dxa"/>
              <w:bottom w:w="15" w:type="dxa"/>
              <w:right w:w="15" w:type="dxa"/>
            </w:tcMar>
          </w:tcPr>
          <w:p w14:paraId="5AA0F9A8">
            <w:pPr>
              <w:contextualSpacing/>
              <w:jc w:val="right"/>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120</w:t>
            </w:r>
            <w:r>
              <w:rPr>
                <w:color w:val="000000" w:themeColor="text1"/>
                <w:lang w:val="fr"/>
                <w14:textFill>
                  <w14:solidFill>
                    <w14:schemeClr w14:val="tx1"/>
                  </w14:solidFill>
                </w14:textFill>
              </w:rPr>
              <w:t xml:space="preserve"> </w:t>
            </w:r>
          </w:p>
        </w:tc>
      </w:tr>
      <w:tr w14:paraId="2C5243F3">
        <w:tblPrEx>
          <w:tblCellMar>
            <w:top w:w="0" w:type="dxa"/>
            <w:left w:w="108" w:type="dxa"/>
            <w:bottom w:w="0" w:type="dxa"/>
            <w:right w:w="108" w:type="dxa"/>
          </w:tblCellMar>
        </w:tblPrEx>
        <w:trPr>
          <w:trHeight w:val="945" w:hRule="atLeast"/>
        </w:trPr>
        <w:tc>
          <w:tcPr>
            <w:tcW w:w="900" w:type="dxa"/>
            <w:tcBorders>
              <w:top w:val="single" w:color="auto" w:sz="8" w:space="0"/>
              <w:left w:val="single" w:color="000000" w:themeColor="text1" w:sz="8" w:space="0"/>
              <w:bottom w:val="single" w:color="auto" w:sz="8" w:space="0"/>
              <w:right w:val="nil"/>
            </w:tcBorders>
            <w:tcMar>
              <w:top w:w="15" w:type="dxa"/>
              <w:left w:w="15" w:type="dxa"/>
              <w:bottom w:w="15" w:type="dxa"/>
              <w:right w:w="15" w:type="dxa"/>
            </w:tcMar>
          </w:tcPr>
          <w:p w14:paraId="6D5C40CD">
            <w:pPr>
              <w:pStyle w:val="29"/>
              <w:numPr>
                <w:ilvl w:val="0"/>
                <w:numId w:val="13"/>
              </w:numPr>
              <w:spacing w:after="0" w:line="240" w:lineRule="auto"/>
              <w:ind w:left="945"/>
              <w:rPr>
                <w:rFonts w:ascii="Times New Roman" w:hAnsi="Times New Roman" w:eastAsia="Times New Roman" w:cs="Times New Roman"/>
                <w:color w:val="000000" w:themeColor="text1"/>
                <w:sz w:val="24"/>
                <w:szCs w:val="24"/>
                <w:lang w:val="fr"/>
                <w14:textFill>
                  <w14:solidFill>
                    <w14:schemeClr w14:val="tx1"/>
                  </w14:solidFill>
                </w14:textFill>
              </w:rPr>
            </w:pPr>
            <w:r>
              <w:rPr>
                <w:rFonts w:ascii="Times New Roman" w:hAnsi="Times New Roman" w:eastAsia="Times New Roman" w:cs="Times New Roman"/>
                <w:color w:val="000000" w:themeColor="text1"/>
                <w:sz w:val="24"/>
                <w:szCs w:val="24"/>
                <w:lang w:val="fr"/>
                <w14:textFill>
                  <w14:solidFill>
                    <w14:schemeClr w14:val="tx1"/>
                  </w14:solidFill>
                </w14:textFill>
              </w:rPr>
              <w:t xml:space="preserve">  </w:t>
            </w:r>
          </w:p>
        </w:tc>
        <w:tc>
          <w:tcPr>
            <w:tcW w:w="990" w:type="dxa"/>
            <w:tcBorders>
              <w:top w:val="single" w:color="auto" w:sz="8" w:space="0"/>
              <w:left w:val="single" w:color="000000" w:themeColor="text1" w:sz="8" w:space="0"/>
              <w:bottom w:val="single" w:color="auto" w:sz="8" w:space="0"/>
              <w:right w:val="nil"/>
            </w:tcBorders>
            <w:tcMar>
              <w:top w:w="15" w:type="dxa"/>
              <w:left w:w="15" w:type="dxa"/>
              <w:bottom w:w="15" w:type="dxa"/>
              <w:right w:w="15" w:type="dxa"/>
            </w:tcMar>
          </w:tcPr>
          <w:p w14:paraId="7B600AD1">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Arabe manuel</w:t>
            </w:r>
            <w:r>
              <w:rPr>
                <w:color w:val="000000" w:themeColor="text1"/>
                <w:lang w:val="fr"/>
                <w14:textFill>
                  <w14:solidFill>
                    <w14:schemeClr w14:val="tx1"/>
                  </w14:solidFill>
                </w14:textFill>
              </w:rPr>
              <w:t xml:space="preserve"> </w:t>
            </w:r>
          </w:p>
          <w:p w14:paraId="5155F023">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900" w:type="dxa"/>
            <w:tcBorders>
              <w:top w:val="single" w:color="auto" w:sz="8" w:space="0"/>
              <w:left w:val="single" w:color="000000" w:themeColor="text1" w:sz="8" w:space="0"/>
              <w:bottom w:val="single" w:color="auto" w:sz="8" w:space="0"/>
              <w:right w:val="nil"/>
            </w:tcBorders>
            <w:tcMar>
              <w:top w:w="15" w:type="dxa"/>
              <w:left w:w="15" w:type="dxa"/>
              <w:bottom w:w="15" w:type="dxa"/>
              <w:right w:w="15" w:type="dxa"/>
            </w:tcMar>
          </w:tcPr>
          <w:p w14:paraId="04E9A274">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3emeAF</w:t>
            </w:r>
            <w:r>
              <w:rPr>
                <w:color w:val="000000" w:themeColor="text1"/>
                <w:lang w:val="fr"/>
                <w14:textFill>
                  <w14:solidFill>
                    <w14:schemeClr w14:val="tx1"/>
                  </w14:solidFill>
                </w14:textFill>
              </w:rPr>
              <w:t xml:space="preserve"> </w:t>
            </w:r>
          </w:p>
          <w:p w14:paraId="53A4091D">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720" w:type="dxa"/>
            <w:tcBorders>
              <w:top w:val="single" w:color="auto" w:sz="8" w:space="0"/>
              <w:left w:val="single" w:color="000000" w:themeColor="text1" w:sz="8" w:space="0"/>
              <w:bottom w:val="single" w:color="auto" w:sz="8" w:space="0"/>
              <w:right w:val="nil"/>
            </w:tcBorders>
            <w:tcMar>
              <w:top w:w="15" w:type="dxa"/>
              <w:left w:w="15" w:type="dxa"/>
              <w:bottom w:w="15" w:type="dxa"/>
              <w:right w:w="15" w:type="dxa"/>
            </w:tcMar>
          </w:tcPr>
          <w:p w14:paraId="563C559E">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124</w:t>
            </w:r>
          </w:p>
        </w:tc>
        <w:tc>
          <w:tcPr>
            <w:tcW w:w="900" w:type="dxa"/>
            <w:tcBorders>
              <w:top w:val="single" w:color="auto" w:sz="8" w:space="0"/>
              <w:left w:val="single" w:color="000000" w:themeColor="text1" w:sz="8" w:space="0"/>
              <w:bottom w:val="single" w:color="auto" w:sz="8" w:space="0"/>
              <w:right w:val="nil"/>
            </w:tcBorders>
            <w:tcMar>
              <w:top w:w="15" w:type="dxa"/>
              <w:left w:w="15" w:type="dxa"/>
              <w:bottom w:w="15" w:type="dxa"/>
              <w:right w:w="15" w:type="dxa"/>
            </w:tcMar>
          </w:tcPr>
          <w:p w14:paraId="243EAB39">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A4</w:t>
            </w:r>
          </w:p>
        </w:tc>
        <w:tc>
          <w:tcPr>
            <w:tcW w:w="1170" w:type="dxa"/>
            <w:tcBorders>
              <w:top w:val="single" w:color="auto" w:sz="8" w:space="0"/>
              <w:left w:val="single" w:color="000000" w:themeColor="text1" w:sz="8" w:space="0"/>
              <w:bottom w:val="single" w:color="auto" w:sz="8" w:space="0"/>
              <w:right w:val="nil"/>
            </w:tcBorders>
            <w:tcMar>
              <w:top w:w="15" w:type="dxa"/>
              <w:left w:w="15" w:type="dxa"/>
              <w:bottom w:w="15" w:type="dxa"/>
              <w:right w:w="15" w:type="dxa"/>
            </w:tcMar>
          </w:tcPr>
          <w:p w14:paraId="2F3D4F9D">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Papier blanc sans bois 80g/m2 CMJN</w:t>
            </w:r>
          </w:p>
          <w:p w14:paraId="746AF819">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1260" w:type="dxa"/>
            <w:tcBorders>
              <w:top w:val="single" w:color="auto" w:sz="8" w:space="0"/>
              <w:left w:val="single" w:color="000000" w:themeColor="text1" w:sz="8" w:space="0"/>
              <w:bottom w:val="single" w:color="auto" w:sz="8" w:space="0"/>
              <w:right w:val="nil"/>
            </w:tcBorders>
            <w:tcMar>
              <w:top w:w="15" w:type="dxa"/>
              <w:left w:w="15" w:type="dxa"/>
              <w:bottom w:w="15" w:type="dxa"/>
              <w:right w:w="15" w:type="dxa"/>
            </w:tcMar>
          </w:tcPr>
          <w:p w14:paraId="27AC0321">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A3+ 300g/m2 couché d’une seule face</w:t>
            </w:r>
          </w:p>
          <w:p w14:paraId="093922F1">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Quadri d’une seule face</w:t>
            </w:r>
          </w:p>
        </w:tc>
        <w:tc>
          <w:tcPr>
            <w:tcW w:w="1080" w:type="dxa"/>
            <w:tcBorders>
              <w:top w:val="single" w:color="auto" w:sz="8" w:space="0"/>
              <w:left w:val="single" w:color="000000" w:themeColor="text1" w:sz="8" w:space="0"/>
              <w:bottom w:val="single" w:color="auto" w:sz="8" w:space="0"/>
              <w:right w:val="nil"/>
            </w:tcBorders>
            <w:tcMar>
              <w:top w:w="15" w:type="dxa"/>
              <w:left w:w="15" w:type="dxa"/>
              <w:bottom w:w="15" w:type="dxa"/>
              <w:right w:w="15" w:type="dxa"/>
            </w:tcMar>
          </w:tcPr>
          <w:p w14:paraId="4B299052">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Sans couleur</w:t>
            </w:r>
          </w:p>
        </w:tc>
        <w:tc>
          <w:tcPr>
            <w:tcW w:w="1080" w:type="dxa"/>
            <w:tcBorders>
              <w:top w:val="single" w:color="auto" w:sz="8" w:space="0"/>
              <w:left w:val="single" w:color="000000" w:themeColor="text1" w:sz="8" w:space="0"/>
              <w:bottom w:val="single" w:color="auto" w:sz="8" w:space="0"/>
              <w:right w:val="single" w:color="000000" w:themeColor="text1" w:sz="8" w:space="0"/>
            </w:tcBorders>
            <w:tcMar>
              <w:top w:w="15" w:type="dxa"/>
              <w:left w:w="15" w:type="dxa"/>
              <w:bottom w:w="15" w:type="dxa"/>
              <w:right w:w="15" w:type="dxa"/>
            </w:tcMar>
          </w:tcPr>
          <w:p w14:paraId="37FBB1B6">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Dos carré collé (collé dorsale et latérale)</w:t>
            </w:r>
          </w:p>
        </w:tc>
        <w:tc>
          <w:tcPr>
            <w:tcW w:w="990" w:type="dxa"/>
            <w:tcBorders>
              <w:top w:val="single" w:color="auto" w:sz="8" w:space="0"/>
              <w:left w:val="single" w:color="000000" w:themeColor="text1" w:sz="8" w:space="0"/>
              <w:bottom w:val="single" w:color="auto" w:sz="8" w:space="0"/>
              <w:right w:val="single" w:color="000000" w:themeColor="text1" w:sz="8" w:space="0"/>
            </w:tcBorders>
            <w:tcMar>
              <w:top w:w="15" w:type="dxa"/>
              <w:left w:w="15" w:type="dxa"/>
              <w:bottom w:w="15" w:type="dxa"/>
              <w:right w:w="15" w:type="dxa"/>
            </w:tcMar>
          </w:tcPr>
          <w:p w14:paraId="5B333A77">
            <w:pPr>
              <w:contextualSpacing/>
              <w:jc w:val="right"/>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4000</w:t>
            </w:r>
            <w:r>
              <w:rPr>
                <w:color w:val="000000" w:themeColor="text1"/>
                <w:lang w:val="fr"/>
                <w14:textFill>
                  <w14:solidFill>
                    <w14:schemeClr w14:val="tx1"/>
                  </w14:solidFill>
                </w14:textFill>
              </w:rPr>
              <w:t xml:space="preserve"> </w:t>
            </w:r>
          </w:p>
        </w:tc>
      </w:tr>
      <w:tr w14:paraId="13CABAC5">
        <w:tblPrEx>
          <w:tblCellMar>
            <w:top w:w="0" w:type="dxa"/>
            <w:left w:w="108" w:type="dxa"/>
            <w:bottom w:w="0" w:type="dxa"/>
            <w:right w:w="108" w:type="dxa"/>
          </w:tblCellMar>
        </w:tblPrEx>
        <w:trPr>
          <w:trHeight w:val="945" w:hRule="atLeast"/>
        </w:trPr>
        <w:tc>
          <w:tcPr>
            <w:tcW w:w="900" w:type="dxa"/>
            <w:tcBorders>
              <w:top w:val="single" w:color="auto" w:sz="8" w:space="0"/>
              <w:left w:val="single" w:color="000000" w:themeColor="text1" w:sz="8" w:space="0"/>
              <w:bottom w:val="single" w:color="auto" w:sz="8" w:space="0"/>
              <w:right w:val="nil"/>
            </w:tcBorders>
            <w:tcMar>
              <w:top w:w="15" w:type="dxa"/>
              <w:left w:w="15" w:type="dxa"/>
              <w:bottom w:w="15" w:type="dxa"/>
              <w:right w:w="15" w:type="dxa"/>
            </w:tcMar>
          </w:tcPr>
          <w:p w14:paraId="3995CFA1">
            <w:pPr>
              <w:pStyle w:val="29"/>
              <w:numPr>
                <w:ilvl w:val="0"/>
                <w:numId w:val="14"/>
              </w:numPr>
              <w:spacing w:after="0" w:line="240" w:lineRule="auto"/>
              <w:ind w:left="945"/>
              <w:rPr>
                <w:rFonts w:ascii="Times New Roman" w:hAnsi="Times New Roman" w:eastAsia="Times New Roman" w:cs="Times New Roman"/>
                <w:color w:val="000000" w:themeColor="text1"/>
                <w:sz w:val="24"/>
                <w:szCs w:val="24"/>
                <w:lang w:val="fr"/>
                <w14:textFill>
                  <w14:solidFill>
                    <w14:schemeClr w14:val="tx1"/>
                  </w14:solidFill>
                </w14:textFill>
              </w:rPr>
            </w:pPr>
            <w:r>
              <w:rPr>
                <w:rFonts w:ascii="Times New Roman" w:hAnsi="Times New Roman" w:eastAsia="Times New Roman" w:cs="Times New Roman"/>
                <w:color w:val="000000" w:themeColor="text1"/>
                <w:sz w:val="24"/>
                <w:szCs w:val="24"/>
                <w:lang w:val="fr"/>
                <w14:textFill>
                  <w14:solidFill>
                    <w14:schemeClr w14:val="tx1"/>
                  </w14:solidFill>
                </w14:textFill>
              </w:rPr>
              <w:t xml:space="preserve">  </w:t>
            </w:r>
          </w:p>
        </w:tc>
        <w:tc>
          <w:tcPr>
            <w:tcW w:w="990" w:type="dxa"/>
            <w:tcBorders>
              <w:top w:val="single" w:color="auto" w:sz="8" w:space="0"/>
              <w:left w:val="single" w:color="000000" w:themeColor="text1" w:sz="8" w:space="0"/>
              <w:bottom w:val="single" w:color="auto" w:sz="8" w:space="0"/>
              <w:right w:val="nil"/>
            </w:tcBorders>
            <w:tcMar>
              <w:top w:w="15" w:type="dxa"/>
              <w:left w:w="15" w:type="dxa"/>
              <w:bottom w:w="15" w:type="dxa"/>
              <w:right w:w="15" w:type="dxa"/>
            </w:tcMar>
          </w:tcPr>
          <w:p w14:paraId="59583EEA">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Arabe guide</w:t>
            </w:r>
            <w:r>
              <w:rPr>
                <w:color w:val="000000" w:themeColor="text1"/>
                <w:lang w:val="fr"/>
                <w14:textFill>
                  <w14:solidFill>
                    <w14:schemeClr w14:val="tx1"/>
                  </w14:solidFill>
                </w14:textFill>
              </w:rPr>
              <w:t xml:space="preserve"> </w:t>
            </w:r>
          </w:p>
          <w:p w14:paraId="0A2CC9B5">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900" w:type="dxa"/>
            <w:tcBorders>
              <w:top w:val="single" w:color="auto" w:sz="8" w:space="0"/>
              <w:left w:val="single" w:color="000000" w:themeColor="text1" w:sz="8" w:space="0"/>
              <w:bottom w:val="single" w:color="auto" w:sz="8" w:space="0"/>
              <w:right w:val="nil"/>
            </w:tcBorders>
            <w:tcMar>
              <w:top w:w="15" w:type="dxa"/>
              <w:left w:w="15" w:type="dxa"/>
              <w:bottom w:w="15" w:type="dxa"/>
              <w:right w:w="15" w:type="dxa"/>
            </w:tcMar>
          </w:tcPr>
          <w:p w14:paraId="587E0ECE">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3emeAF</w:t>
            </w:r>
            <w:r>
              <w:rPr>
                <w:color w:val="000000" w:themeColor="text1"/>
                <w:lang w:val="fr"/>
                <w14:textFill>
                  <w14:solidFill>
                    <w14:schemeClr w14:val="tx1"/>
                  </w14:solidFill>
                </w14:textFill>
              </w:rPr>
              <w:t xml:space="preserve"> </w:t>
            </w:r>
          </w:p>
          <w:p w14:paraId="182DF3AD">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w:t>
            </w:r>
          </w:p>
        </w:tc>
        <w:tc>
          <w:tcPr>
            <w:tcW w:w="720" w:type="dxa"/>
            <w:tcBorders>
              <w:top w:val="single" w:color="auto" w:sz="8" w:space="0"/>
              <w:left w:val="single" w:color="000000" w:themeColor="text1" w:sz="8" w:space="0"/>
              <w:bottom w:val="single" w:color="auto" w:sz="8" w:space="0"/>
              <w:right w:val="nil"/>
            </w:tcBorders>
            <w:tcMar>
              <w:top w:w="15" w:type="dxa"/>
              <w:left w:w="15" w:type="dxa"/>
              <w:bottom w:w="15" w:type="dxa"/>
              <w:right w:w="15" w:type="dxa"/>
            </w:tcMar>
          </w:tcPr>
          <w:p w14:paraId="46E0E6EE">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144</w:t>
            </w:r>
          </w:p>
        </w:tc>
        <w:tc>
          <w:tcPr>
            <w:tcW w:w="900" w:type="dxa"/>
            <w:tcBorders>
              <w:top w:val="single" w:color="auto" w:sz="8" w:space="0"/>
              <w:left w:val="single" w:color="000000" w:themeColor="text1" w:sz="8" w:space="0"/>
              <w:bottom w:val="single" w:color="auto" w:sz="8" w:space="0"/>
              <w:right w:val="nil"/>
            </w:tcBorders>
            <w:tcMar>
              <w:top w:w="15" w:type="dxa"/>
              <w:left w:w="15" w:type="dxa"/>
              <w:bottom w:w="15" w:type="dxa"/>
              <w:right w:w="15" w:type="dxa"/>
            </w:tcMar>
          </w:tcPr>
          <w:p w14:paraId="114603F6">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A4</w:t>
            </w:r>
          </w:p>
        </w:tc>
        <w:tc>
          <w:tcPr>
            <w:tcW w:w="1170" w:type="dxa"/>
            <w:tcBorders>
              <w:top w:val="single" w:color="auto" w:sz="8" w:space="0"/>
              <w:left w:val="single" w:color="000000" w:themeColor="text1" w:sz="8" w:space="0"/>
              <w:bottom w:val="single" w:color="auto" w:sz="8" w:space="0"/>
              <w:right w:val="nil"/>
            </w:tcBorders>
            <w:tcMar>
              <w:top w:w="15" w:type="dxa"/>
              <w:left w:w="15" w:type="dxa"/>
              <w:bottom w:w="15" w:type="dxa"/>
              <w:right w:w="15" w:type="dxa"/>
            </w:tcMar>
          </w:tcPr>
          <w:p w14:paraId="0708DB84">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Papier blanc sans bois 70g/m2 en noir</w:t>
            </w:r>
          </w:p>
        </w:tc>
        <w:tc>
          <w:tcPr>
            <w:tcW w:w="1260" w:type="dxa"/>
            <w:tcBorders>
              <w:top w:val="single" w:color="auto" w:sz="8" w:space="0"/>
              <w:left w:val="single" w:color="000000" w:themeColor="text1" w:sz="8" w:space="0"/>
              <w:bottom w:val="single" w:color="auto" w:sz="8" w:space="0"/>
              <w:right w:val="nil"/>
            </w:tcBorders>
            <w:tcMar>
              <w:top w:w="15" w:type="dxa"/>
              <w:left w:w="15" w:type="dxa"/>
              <w:bottom w:w="15" w:type="dxa"/>
              <w:right w:w="15" w:type="dxa"/>
            </w:tcMar>
          </w:tcPr>
          <w:p w14:paraId="02692622">
            <w:pPr>
              <w:spacing w:after="160"/>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A3+ 300g/m2 couché d’une seule face</w:t>
            </w:r>
          </w:p>
          <w:p w14:paraId="2DD75FC6">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Quadri d’une seule face</w:t>
            </w:r>
          </w:p>
        </w:tc>
        <w:tc>
          <w:tcPr>
            <w:tcW w:w="1080" w:type="dxa"/>
            <w:tcBorders>
              <w:top w:val="single" w:color="auto" w:sz="8" w:space="0"/>
              <w:left w:val="single" w:color="000000" w:themeColor="text1" w:sz="8" w:space="0"/>
              <w:bottom w:val="single" w:color="auto" w:sz="8" w:space="0"/>
              <w:right w:val="nil"/>
            </w:tcBorders>
            <w:tcMar>
              <w:top w:w="15" w:type="dxa"/>
              <w:left w:w="15" w:type="dxa"/>
              <w:bottom w:w="15" w:type="dxa"/>
              <w:right w:w="15" w:type="dxa"/>
            </w:tcMar>
          </w:tcPr>
          <w:p w14:paraId="0547081A">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Sans couleur</w:t>
            </w:r>
          </w:p>
        </w:tc>
        <w:tc>
          <w:tcPr>
            <w:tcW w:w="1080" w:type="dxa"/>
            <w:tcBorders>
              <w:top w:val="single" w:color="auto" w:sz="8" w:space="0"/>
              <w:left w:val="single" w:color="000000" w:themeColor="text1" w:sz="8" w:space="0"/>
              <w:bottom w:val="single" w:color="auto" w:sz="8" w:space="0"/>
              <w:right w:val="single" w:color="000000" w:themeColor="text1" w:sz="8" w:space="0"/>
            </w:tcBorders>
            <w:tcMar>
              <w:top w:w="15" w:type="dxa"/>
              <w:left w:w="15" w:type="dxa"/>
              <w:bottom w:w="15" w:type="dxa"/>
              <w:right w:w="15" w:type="dxa"/>
            </w:tcMar>
          </w:tcPr>
          <w:p w14:paraId="54F8FE38">
            <w:pPr>
              <w:contextualSpacing/>
              <w:rPr>
                <w:color w:val="000000" w:themeColor="text1"/>
                <w:lang w:val="fr"/>
                <w14:textFill>
                  <w14:solidFill>
                    <w14:schemeClr w14:val="tx1"/>
                  </w14:solidFill>
                </w14:textFill>
              </w:rPr>
            </w:pPr>
            <w:r>
              <w:rPr>
                <w:color w:val="000000" w:themeColor="text1"/>
                <w:lang w:val="fr"/>
                <w14:textFill>
                  <w14:solidFill>
                    <w14:schemeClr w14:val="tx1"/>
                  </w14:solidFill>
                </w14:textFill>
              </w:rPr>
              <w:t xml:space="preserve"> Dos carré collé (collé dorsale et latérale)</w:t>
            </w:r>
          </w:p>
        </w:tc>
        <w:tc>
          <w:tcPr>
            <w:tcW w:w="990" w:type="dxa"/>
            <w:tcBorders>
              <w:top w:val="single" w:color="auto" w:sz="8" w:space="0"/>
              <w:left w:val="single" w:color="000000" w:themeColor="text1" w:sz="8" w:space="0"/>
              <w:bottom w:val="single" w:color="auto" w:sz="8" w:space="0"/>
              <w:right w:val="single" w:color="000000" w:themeColor="text1" w:sz="8" w:space="0"/>
            </w:tcBorders>
            <w:tcMar>
              <w:top w:w="15" w:type="dxa"/>
              <w:left w:w="15" w:type="dxa"/>
              <w:bottom w:w="15" w:type="dxa"/>
              <w:right w:w="15" w:type="dxa"/>
            </w:tcMar>
          </w:tcPr>
          <w:p w14:paraId="55146F89">
            <w:pPr>
              <w:contextualSpacing/>
              <w:jc w:val="right"/>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120</w:t>
            </w:r>
            <w:r>
              <w:rPr>
                <w:color w:val="000000" w:themeColor="text1"/>
                <w:lang w:val="fr"/>
                <w14:textFill>
                  <w14:solidFill>
                    <w14:schemeClr w14:val="tx1"/>
                  </w14:solidFill>
                </w14:textFill>
              </w:rPr>
              <w:t xml:space="preserve"> </w:t>
            </w:r>
          </w:p>
        </w:tc>
      </w:tr>
      <w:tr w14:paraId="61610CBE">
        <w:tblPrEx>
          <w:tblCellMar>
            <w:top w:w="0" w:type="dxa"/>
            <w:left w:w="108" w:type="dxa"/>
            <w:bottom w:w="0" w:type="dxa"/>
            <w:right w:w="108" w:type="dxa"/>
          </w:tblCellMar>
        </w:tblPrEx>
        <w:trPr>
          <w:trHeight w:val="645" w:hRule="atLeast"/>
        </w:trPr>
        <w:tc>
          <w:tcPr>
            <w:tcW w:w="9000" w:type="dxa"/>
            <w:gridSpan w:val="9"/>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tcPr>
          <w:p w14:paraId="40CD4DE1">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 xml:space="preserve"> </w:t>
            </w:r>
            <w:r>
              <w:rPr>
                <w:color w:val="000000" w:themeColor="text1"/>
                <w:lang w:val="fr"/>
                <w14:textFill>
                  <w14:solidFill>
                    <w14:schemeClr w14:val="tx1"/>
                  </w14:solidFill>
                </w14:textFill>
              </w:rPr>
              <w:t xml:space="preserve"> </w:t>
            </w:r>
          </w:p>
          <w:p w14:paraId="11B9E072">
            <w:pPr>
              <w:contextualSpacing/>
              <w:rPr>
                <w:b/>
                <w:bCs/>
                <w:color w:val="000000" w:themeColor="text1"/>
                <w:lang w:val="fr"/>
                <w14:textFill>
                  <w14:solidFill>
                    <w14:schemeClr w14:val="tx1"/>
                  </w14:solidFill>
                </w14:textFill>
              </w:rPr>
            </w:pPr>
            <w:r>
              <w:rPr>
                <w:b/>
                <w:bCs/>
                <w:color w:val="000000" w:themeColor="text1" w:themeTint="FF"/>
                <w:lang w:val="fr"/>
                <w14:textFill>
                  <w14:solidFill>
                    <w14:schemeClr w14:val="tx1">
                      <w14:lumMod w14:val="100000"/>
                      <w14:lumOff w14:val="0"/>
                    </w14:schemeClr>
                  </w14:solidFill>
                </w14:textFill>
              </w:rPr>
              <w:t>Total</w:t>
            </w:r>
            <w:r>
              <w:rPr>
                <w:color w:val="000000" w:themeColor="text1" w:themeTint="FF"/>
                <w:lang w:val="fr"/>
                <w14:textFill>
                  <w14:solidFill>
                    <w14:schemeClr w14:val="tx1">
                      <w14:lumMod w14:val="100000"/>
                      <w14:lumOff w14:val="0"/>
                    </w14:schemeClr>
                  </w14:solidFill>
                </w14:textFill>
              </w:rPr>
              <w:t xml:space="preserve"> </w:t>
            </w:r>
            <w:r>
              <w:rPr>
                <w:b/>
                <w:bCs/>
                <w:color w:val="000000" w:themeColor="text1" w:themeTint="FF"/>
                <w:lang w:val="fr"/>
                <w14:textFill>
                  <w14:solidFill>
                    <w14:schemeClr w14:val="tx1">
                      <w14:lumMod w14:val="100000"/>
                      <w14:lumOff w14:val="0"/>
                    </w14:schemeClr>
                  </w14:solidFill>
                </w14:textFill>
              </w:rPr>
              <w:t>Quantité</w:t>
            </w:r>
          </w:p>
        </w:tc>
        <w:tc>
          <w:tcPr>
            <w:tcW w:w="990" w:type="dxa"/>
            <w:tcBorders>
              <w:top w:val="single" w:color="auto" w:sz="8" w:space="0"/>
              <w:left w:val="nil"/>
              <w:bottom w:val="single" w:color="auto" w:sz="8" w:space="0"/>
              <w:right w:val="single" w:color="auto" w:sz="8" w:space="0"/>
            </w:tcBorders>
            <w:tcMar>
              <w:top w:w="15" w:type="dxa"/>
              <w:left w:w="15" w:type="dxa"/>
              <w:bottom w:w="15" w:type="dxa"/>
              <w:right w:w="15" w:type="dxa"/>
            </w:tcMar>
          </w:tcPr>
          <w:p w14:paraId="19C00931">
            <w:pPr>
              <w:contextualSpacing/>
              <w:rPr>
                <w:color w:val="000000" w:themeColor="text1"/>
                <w:lang w:val="fr"/>
                <w14:textFill>
                  <w14:solidFill>
                    <w14:schemeClr w14:val="tx1"/>
                  </w14:solidFill>
                </w14:textFill>
              </w:rPr>
            </w:pPr>
            <w:r>
              <w:rPr>
                <w:b/>
                <w:bCs/>
                <w:color w:val="000000" w:themeColor="text1"/>
                <w:lang w:val="fr"/>
                <w14:textFill>
                  <w14:solidFill>
                    <w14:schemeClr w14:val="tx1"/>
                  </w14:solidFill>
                </w14:textFill>
              </w:rPr>
              <w:t>20,600</w:t>
            </w:r>
            <w:r>
              <w:rPr>
                <w:color w:val="000000" w:themeColor="text1"/>
                <w:lang w:val="fr"/>
                <w14:textFill>
                  <w14:solidFill>
                    <w14:schemeClr w14:val="tx1"/>
                  </w14:solidFill>
                </w14:textFill>
              </w:rPr>
              <w:t xml:space="preserve"> </w:t>
            </w:r>
          </w:p>
        </w:tc>
      </w:tr>
    </w:tbl>
    <w:p w14:paraId="14BF470D">
      <w:pPr>
        <w:tabs>
          <w:tab w:val="left" w:pos="2160"/>
        </w:tabs>
        <w:spacing w:after="160"/>
        <w:contextualSpacing/>
        <w:rPr>
          <w:b/>
          <w:bCs/>
          <w:lang w:val="fr"/>
        </w:rPr>
      </w:pPr>
      <w:r>
        <w:t xml:space="preserve">Veuillez noter que les échantillons sont disponibles sous format électronique. Les soumissionnaires intéressés peuvent en faire la demande par email auprès du service des achats à l'adresse suivante </w:t>
      </w:r>
      <w:r>
        <w:fldChar w:fldCharType="begin"/>
      </w:r>
      <w:r>
        <w:instrText xml:space="preserve">HYPERLINK "mailto:procurement.mauritania@counterpart.org" </w:instrText>
      </w:r>
      <w:r>
        <w:fldChar w:fldCharType="separate"/>
      </w:r>
      <w:r>
        <w:rPr>
          <w:b/>
          <w:bCs/>
          <w:color w:val="0563C1"/>
          <w:u w:val="single"/>
        </w:rPr>
        <w:t>procurement.mauritania@counterpart.org</w:t>
      </w:r>
      <w:r>
        <w:fldChar w:fldCharType="end"/>
      </w:r>
    </w:p>
    <w:p w14:paraId="7E4784CE">
      <w:pPr>
        <w:contextualSpacing/>
      </w:pPr>
    </w:p>
    <w:p w14:paraId="7E4784CF">
      <w:pPr>
        <w:contextualSpacing/>
        <w:rPr>
          <w:b/>
          <w:bCs/>
        </w:rPr>
      </w:pPr>
      <w:r>
        <w:rPr>
          <w:highlight w:val="yellow"/>
        </w:rPr>
        <w:t xml:space="preserve">Les articles doivent être livrés au bureau de Nouakchott </w:t>
      </w:r>
      <w:r>
        <w:t>Counterpart International, lot 254 Tevragzeyna BP3933 Nouakchott Mauritanie</w:t>
      </w:r>
    </w:p>
    <w:p w14:paraId="7E4784D0">
      <w:pPr>
        <w:contextualSpacing/>
      </w:pPr>
    </w:p>
    <w:p w14:paraId="7E4784D2">
      <w:pPr>
        <w:contextualSpacing/>
        <w:rPr>
          <w:b/>
          <w:bCs/>
        </w:rPr>
      </w:pPr>
      <w:r>
        <w:rPr>
          <w:b/>
          <w:bCs/>
        </w:rPr>
        <w:t>Tous les frais de transport, taxes, droits d'importation et d'exportation sont à la charge du soumissionnaire.</w:t>
      </w:r>
    </w:p>
    <w:p w14:paraId="7E4784D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rPr>
          <w:color w:val="212121"/>
        </w:rPr>
      </w:pPr>
    </w:p>
    <w:p w14:paraId="7E4784D5">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212121"/>
        </w:rPr>
      </w:pPr>
      <w:r>
        <w:rPr>
          <w:b/>
          <w:bCs/>
          <w:color w:val="212121"/>
        </w:rPr>
        <w:t>DÉLAI DE LIVRAISON</w:t>
      </w:r>
    </w:p>
    <w:p w14:paraId="7E4784D6">
      <w:p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212121"/>
        </w:rPr>
      </w:pPr>
    </w:p>
    <w:p w14:paraId="7E4784D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212121"/>
        </w:rPr>
      </w:pPr>
      <w:r>
        <w:rPr>
          <w:color w:val="212121"/>
        </w:rPr>
        <w:t xml:space="preserve">Tout le matériel au complet doit être livré au bureau de Counterpart dans les </w:t>
      </w:r>
      <w:r>
        <w:rPr>
          <w:b/>
          <w:bCs/>
          <w:color w:val="212121"/>
          <w:highlight w:val="yellow"/>
        </w:rPr>
        <w:t>21 jours</w:t>
      </w:r>
      <w:r>
        <w:rPr>
          <w:b/>
          <w:bCs/>
          <w:color w:val="212121"/>
        </w:rPr>
        <w:t xml:space="preserve"> calendaires </w:t>
      </w:r>
      <w:r>
        <w:rPr>
          <w:color w:val="212121"/>
        </w:rPr>
        <w:t>au maximum après la signature du contrat.</w:t>
      </w:r>
    </w:p>
    <w:p w14:paraId="7E4784D8">
      <w:p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6412"/>
        </w:tabs>
        <w:ind w:left="360"/>
        <w:contextualSpacing/>
        <w:rPr>
          <w:color w:val="212121"/>
        </w:rPr>
      </w:pPr>
      <w:r>
        <w:rPr>
          <w:rFonts w:eastAsia="Calibri"/>
          <w:color w:val="212121"/>
        </w:rPr>
        <w:tab/>
      </w:r>
    </w:p>
    <w:p w14:paraId="7E4784D9">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212121"/>
        </w:rPr>
      </w:pPr>
      <w:r>
        <w:rPr>
          <w:b/>
          <w:bCs/>
          <w:color w:val="212121"/>
        </w:rPr>
        <w:t>OFFRE DE PRIX</w:t>
      </w:r>
    </w:p>
    <w:p w14:paraId="7E4784DA">
      <w:p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212121"/>
        </w:rPr>
      </w:pPr>
    </w:p>
    <w:p w14:paraId="0F8E4488">
      <w:p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212121"/>
        </w:rPr>
      </w:pPr>
      <w:r>
        <w:rPr>
          <w:color w:val="212121"/>
        </w:rPr>
        <w:t xml:space="preserve">Les devis en réponse à cet appel d’offres doivent être tarifés sur </w:t>
      </w:r>
      <w:r>
        <w:rPr>
          <w:b/>
          <w:bCs/>
          <w:color w:val="212121"/>
        </w:rPr>
        <w:t>une base forfaitaire avec la livraison et tous les autres frais compris</w:t>
      </w:r>
      <w:r>
        <w:rPr>
          <w:color w:val="212121"/>
        </w:rPr>
        <w:t xml:space="preserve">, Les prix doivent être présentés en MRU et Hors TVA.  </w:t>
      </w:r>
    </w:p>
    <w:p w14:paraId="7E4784DB">
      <w:p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212121"/>
        </w:rPr>
      </w:pPr>
      <w:r>
        <w:rPr>
          <w:color w:val="212121"/>
        </w:rPr>
        <w:t xml:space="preserve">Les offres doivent rester valables au moins quatre-vingt-dix (90) jours calendaires après la date limite de dépôt des offres. </w:t>
      </w:r>
    </w:p>
    <w:p w14:paraId="7E4784DC">
      <w:p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rPr>
          <w:color w:val="212121"/>
        </w:rPr>
      </w:pPr>
    </w:p>
    <w:p w14:paraId="78C50EA6">
      <w:pPr>
        <w:pStyle w:val="31"/>
        <w:numPr>
          <w:ilvl w:val="0"/>
          <w:numId w:val="15"/>
        </w:numPr>
        <w:contextualSpacing/>
        <w:jc w:val="both"/>
        <w:rPr>
          <w:b/>
          <w:bCs/>
          <w:lang w:val="fr-FR"/>
        </w:rPr>
      </w:pPr>
      <w:r>
        <w:rPr>
          <w:b/>
          <w:bCs/>
          <w:lang w:val="fr-FR"/>
        </w:rPr>
        <w:t>LES CRITERES REQUIS POUR L’APPEL D’OFFRE</w:t>
      </w:r>
    </w:p>
    <w:p w14:paraId="3AD00053">
      <w:pPr>
        <w:pStyle w:val="31"/>
        <w:contextualSpacing/>
        <w:jc w:val="both"/>
        <w:rPr>
          <w:b/>
          <w:bCs/>
          <w:lang w:val="fr-FR"/>
        </w:rPr>
      </w:pPr>
    </w:p>
    <w:p w14:paraId="1CD4B0B2">
      <w:pPr>
        <w:numPr>
          <w:ilvl w:val="0"/>
          <w:numId w:val="16"/>
        </w:numPr>
        <w:contextualSpacing/>
        <w:jc w:val="both"/>
      </w:pPr>
      <w:r>
        <w:t>L’imprimerie doit avoir un registre de commerce et NIF</w:t>
      </w:r>
    </w:p>
    <w:p w14:paraId="12BB53A2">
      <w:pPr>
        <w:numPr>
          <w:ilvl w:val="0"/>
          <w:numId w:val="16"/>
        </w:numPr>
        <w:contextualSpacing/>
        <w:jc w:val="both"/>
      </w:pPr>
      <w:r>
        <w:t>Soumettre un spécimen d’un manuel valide conformément à la législation en vigueur.</w:t>
      </w:r>
    </w:p>
    <w:p w14:paraId="58A93A1B">
      <w:pPr>
        <w:numPr>
          <w:ilvl w:val="0"/>
          <w:numId w:val="16"/>
        </w:numPr>
        <w:contextualSpacing/>
        <w:jc w:val="both"/>
      </w:pPr>
      <w:r>
        <w:t xml:space="preserve">Fournir au moins 03 attestations dument cachetées avec noms et personnes à contacter attestant de l’expérience du soumissionnaire pour des travaux similaires. </w:t>
      </w:r>
    </w:p>
    <w:p w14:paraId="6F27025C">
      <w:pPr>
        <w:numPr>
          <w:ilvl w:val="0"/>
          <w:numId w:val="16"/>
        </w:numPr>
        <w:contextualSpacing/>
        <w:jc w:val="both"/>
      </w:pPr>
      <w:r>
        <w:t>Votre offre devra être chiffrée en hors taxes (HTVA) en MRU.</w:t>
      </w:r>
    </w:p>
    <w:p w14:paraId="46927A7C">
      <w:pPr>
        <w:numPr>
          <w:ilvl w:val="0"/>
          <w:numId w:val="16"/>
        </w:numPr>
        <w:contextualSpacing/>
        <w:jc w:val="both"/>
      </w:pPr>
      <w:r>
        <w:t>Les Manuels scolaires devront être disponibles dans un délai de 21 jour calendaire après la signature du contrat.</w:t>
      </w:r>
    </w:p>
    <w:p w14:paraId="7C71B2A5">
      <w:pPr>
        <w:numPr>
          <w:ilvl w:val="0"/>
          <w:numId w:val="16"/>
        </w:numPr>
        <w:contextualSpacing/>
        <w:jc w:val="both"/>
      </w:pPr>
      <w:r>
        <w:t>Les offres devront demeurer valides pendant une durée de 90 (quatre-vingt-dix) jours à compter de la date limite de soumission.</w:t>
      </w:r>
    </w:p>
    <w:p w14:paraId="7E4784EE">
      <w:pPr>
        <w:ind w:left="720"/>
        <w:contextualSpacing/>
        <w:jc w:val="both"/>
      </w:pPr>
    </w:p>
    <w:p w14:paraId="7E4784EF">
      <w:pPr>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212121"/>
        </w:rPr>
      </w:pPr>
      <w:r>
        <w:rPr>
          <w:b/>
          <w:bCs/>
          <w:color w:val="212121"/>
        </w:rPr>
        <w:t>PROCÉDURES D'ÉVALUATION ET CRITÈRES</w:t>
      </w:r>
    </w:p>
    <w:p w14:paraId="7E4784F0">
      <w:pPr>
        <w:widowControl w:val="0"/>
        <w:pBdr>
          <w:top w:val="none" w:color="auto" w:sz="0" w:space="0"/>
          <w:left w:val="none" w:color="auto" w:sz="0" w:space="0"/>
          <w:bottom w:val="none" w:color="auto" w:sz="0" w:space="0"/>
          <w:right w:val="none" w:color="auto" w:sz="0" w:space="0"/>
          <w:between w:val="none" w:color="auto" w:sz="0" w:space="0"/>
        </w:pBdr>
        <w:ind w:hanging="720"/>
        <w:contextualSpacing/>
        <w:rPr>
          <w:b/>
          <w:bCs/>
          <w:smallCaps/>
          <w:color w:val="000000"/>
        </w:rPr>
      </w:pPr>
    </w:p>
    <w:p w14:paraId="7E4784F1">
      <w:pPr>
        <w:contextualSpacing/>
        <w:jc w:val="both"/>
        <w:rPr>
          <w:color w:val="212121"/>
          <w:highlight w:val="white"/>
        </w:rPr>
      </w:pPr>
      <w:r>
        <w:rPr>
          <w:color w:val="212121"/>
          <w:highlight w:val="white"/>
        </w:rPr>
        <w:t xml:space="preserve">Le contrat sera octroyé au soumissionnaire dont la proposition suit les instructions de </w:t>
      </w:r>
      <w:r>
        <w:rPr>
          <w:color w:val="212121"/>
        </w:rPr>
        <w:t xml:space="preserve">cet appel d’offres et </w:t>
      </w:r>
      <w:r>
        <w:rPr>
          <w:color w:val="212121"/>
          <w:highlight w:val="white"/>
        </w:rPr>
        <w:t>répond aux critères d'éligibilité et dont l’offre est déterminée comme étant la meilleure valeur basée sur l’application des critères d’évaluation suivants. L'importance relative de chaque critère est indiquée par le nombre de points ci-dessous :</w:t>
      </w:r>
    </w:p>
    <w:p w14:paraId="7E4784F3">
      <w:pPr>
        <w:contextualSpacing/>
        <w:jc w:val="both"/>
        <w:rPr>
          <w:color w:val="212121"/>
          <w:highlight w:val="white"/>
        </w:rPr>
      </w:pPr>
      <w:r>
        <w:rPr>
          <w:color w:val="212121"/>
          <w:highlight w:val="white"/>
        </w:rPr>
        <w:t xml:space="preserve"> </w:t>
      </w:r>
    </w:p>
    <w:tbl>
      <w:tblPr>
        <w:tblStyle w:val="9"/>
        <w:tblW w:w="8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15" w:type="dxa"/>
          <w:bottom w:w="0" w:type="dxa"/>
          <w:right w:w="115" w:type="dxa"/>
        </w:tblCellMar>
      </w:tblPr>
      <w:tblGrid>
        <w:gridCol w:w="6520"/>
        <w:gridCol w:w="1519"/>
      </w:tblGrid>
      <w:tr w14:paraId="7E4784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rPr>
          <w:jc w:val="center"/>
        </w:trPr>
        <w:tc>
          <w:tcPr>
            <w:tcW w:w="6520" w:type="dxa"/>
            <w:shd w:val="clear" w:color="auto" w:fill="FFFFFF" w:themeFill="background1"/>
          </w:tcPr>
          <w:p w14:paraId="7E4784F4">
            <w:pPr>
              <w:contextualSpacing/>
              <w:jc w:val="center"/>
              <w:rPr>
                <w:b/>
                <w:bCs/>
              </w:rPr>
            </w:pPr>
            <w:r>
              <w:rPr>
                <w:b/>
                <w:bCs/>
              </w:rPr>
              <w:t>Critères</w:t>
            </w:r>
          </w:p>
        </w:tc>
        <w:tc>
          <w:tcPr>
            <w:tcW w:w="1519" w:type="dxa"/>
            <w:shd w:val="clear" w:color="auto" w:fill="FFFFFF" w:themeFill="background1"/>
          </w:tcPr>
          <w:p w14:paraId="7E4784F5">
            <w:pPr>
              <w:contextualSpacing/>
              <w:jc w:val="center"/>
              <w:rPr>
                <w:b/>
                <w:bCs/>
              </w:rPr>
            </w:pPr>
            <w:r>
              <w:rPr>
                <w:b/>
                <w:bCs/>
              </w:rPr>
              <w:t>Scores</w:t>
            </w:r>
          </w:p>
        </w:tc>
      </w:tr>
      <w:tr w14:paraId="7E4784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rPr>
          <w:trHeight w:val="50" w:hRule="atLeast"/>
          <w:jc w:val="center"/>
        </w:trPr>
        <w:tc>
          <w:tcPr>
            <w:tcW w:w="6520" w:type="dxa"/>
            <w:shd w:val="clear" w:color="auto" w:fill="FFFFFF" w:themeFill="background1"/>
          </w:tcPr>
          <w:p w14:paraId="7E4784F7">
            <w:pPr>
              <w:pStyle w:val="20"/>
              <w:tabs>
                <w:tab w:val="left" w:pos="180"/>
                <w:tab w:val="left" w:pos="450"/>
              </w:tabs>
              <w:contextualSpacing/>
              <w:jc w:val="left"/>
              <w:rPr>
                <w:b w:val="0"/>
                <w:sz w:val="24"/>
                <w:szCs w:val="24"/>
              </w:rPr>
            </w:pPr>
            <w:r>
              <w:rPr>
                <w:b w:val="0"/>
                <w:sz w:val="24"/>
                <w:szCs w:val="24"/>
              </w:rPr>
              <w:t xml:space="preserve">Capacité technique (expérience, NIF et registre de commerce, conformité du dossier selon les informations requises, spécimen d’un manuel) de l’imprimerie </w:t>
            </w:r>
          </w:p>
        </w:tc>
        <w:tc>
          <w:tcPr>
            <w:tcW w:w="1519" w:type="dxa"/>
            <w:shd w:val="clear" w:color="auto" w:fill="FFFFFF" w:themeFill="background1"/>
          </w:tcPr>
          <w:p w14:paraId="7E4784F8">
            <w:pPr>
              <w:contextualSpacing/>
              <w:jc w:val="center"/>
            </w:pPr>
            <w:r>
              <w:t>50</w:t>
            </w:r>
          </w:p>
        </w:tc>
      </w:tr>
      <w:tr w14:paraId="7E4784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rPr>
          <w:trHeight w:val="306" w:hRule="atLeast"/>
          <w:jc w:val="center"/>
        </w:trPr>
        <w:tc>
          <w:tcPr>
            <w:tcW w:w="6520" w:type="dxa"/>
            <w:shd w:val="clear" w:color="auto" w:fill="FFFFFF" w:themeFill="background1"/>
          </w:tcPr>
          <w:p w14:paraId="7E4784FD">
            <w:pPr>
              <w:contextualSpacing/>
            </w:pPr>
            <w:r>
              <w:t>Offre Financière en MRU</w:t>
            </w:r>
          </w:p>
        </w:tc>
        <w:tc>
          <w:tcPr>
            <w:tcW w:w="1519" w:type="dxa"/>
            <w:shd w:val="clear" w:color="auto" w:fill="FFFFFF" w:themeFill="background1"/>
          </w:tcPr>
          <w:p w14:paraId="7E4784FE">
            <w:pPr>
              <w:contextualSpacing/>
              <w:jc w:val="center"/>
            </w:pPr>
            <w:r>
              <w:t>40</w:t>
            </w:r>
          </w:p>
        </w:tc>
      </w:tr>
      <w:tr w14:paraId="621357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rPr>
          <w:trHeight w:val="300" w:hRule="atLeast"/>
          <w:jc w:val="center"/>
        </w:trPr>
        <w:tc>
          <w:tcPr>
            <w:tcW w:w="6520" w:type="dxa"/>
            <w:shd w:val="clear" w:color="auto" w:fill="FFFFFF" w:themeFill="background1"/>
          </w:tcPr>
          <w:p w14:paraId="2DEF017C">
            <w:pPr>
              <w:contextualSpacing/>
            </w:pPr>
            <w:r>
              <w:t>Délai de livraison</w:t>
            </w:r>
          </w:p>
        </w:tc>
        <w:tc>
          <w:tcPr>
            <w:tcW w:w="1519" w:type="dxa"/>
            <w:shd w:val="clear" w:color="auto" w:fill="FFFFFF" w:themeFill="background1"/>
          </w:tcPr>
          <w:p w14:paraId="6E1E957F">
            <w:pPr>
              <w:contextualSpacing/>
              <w:jc w:val="center"/>
            </w:pPr>
            <w:r>
              <w:t>10</w:t>
            </w:r>
          </w:p>
        </w:tc>
      </w:tr>
      <w:tr w14:paraId="7E4785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15" w:type="dxa"/>
            <w:bottom w:w="0" w:type="dxa"/>
            <w:right w:w="115" w:type="dxa"/>
          </w:tblCellMar>
        </w:tblPrEx>
        <w:trPr>
          <w:jc w:val="center"/>
        </w:trPr>
        <w:tc>
          <w:tcPr>
            <w:tcW w:w="6520" w:type="dxa"/>
            <w:shd w:val="clear" w:color="auto" w:fill="FFFFFF" w:themeFill="background1"/>
          </w:tcPr>
          <w:p w14:paraId="7E478503">
            <w:pPr>
              <w:contextualSpacing/>
              <w:rPr>
                <w:b/>
                <w:bCs/>
              </w:rPr>
            </w:pPr>
            <w:r>
              <w:rPr>
                <w:b/>
                <w:bCs/>
              </w:rPr>
              <w:t>Total</w:t>
            </w:r>
          </w:p>
        </w:tc>
        <w:tc>
          <w:tcPr>
            <w:tcW w:w="1519" w:type="dxa"/>
            <w:shd w:val="clear" w:color="auto" w:fill="FFFFFF" w:themeFill="background1"/>
          </w:tcPr>
          <w:p w14:paraId="7E478504">
            <w:pPr>
              <w:contextualSpacing/>
              <w:jc w:val="center"/>
              <w:rPr>
                <w:b/>
                <w:bCs/>
              </w:rPr>
            </w:pPr>
            <w:r>
              <w:rPr>
                <w:b/>
                <w:bCs/>
              </w:rPr>
              <w:t>100</w:t>
            </w:r>
          </w:p>
        </w:tc>
      </w:tr>
    </w:tbl>
    <w:p w14:paraId="7E478506">
      <w:pPr>
        <w:pBdr>
          <w:top w:val="none" w:color="auto" w:sz="0" w:space="0"/>
          <w:left w:val="none" w:color="auto" w:sz="0" w:space="0"/>
          <w:bottom w:val="none" w:color="auto" w:sz="0" w:space="0"/>
          <w:right w:val="none" w:color="auto" w:sz="0" w:space="0"/>
          <w:between w:val="none" w:color="auto" w:sz="0" w:space="0"/>
        </w:pBdr>
        <w:ind w:left="1080" w:hanging="720"/>
        <w:contextualSpacing/>
        <w:jc w:val="both"/>
        <w:rPr>
          <w:color w:val="000000"/>
          <w:highlight w:val="yellow"/>
        </w:rPr>
      </w:pPr>
    </w:p>
    <w:p w14:paraId="120CA9C9">
      <w:pPr>
        <w:suppressAutoHyphens/>
        <w:contextualSpacing/>
        <w:jc w:val="both"/>
        <w:rPr>
          <w:color w:val="212121"/>
        </w:rPr>
      </w:pPr>
      <w:r>
        <w:rPr>
          <w:color w:val="212121"/>
          <w:shd w:val="clear" w:color="auto" w:fill="FFFFFF"/>
        </w:rPr>
        <w:t xml:space="preserve">Veuillez noter qu’en cas de lacunes significatives concernant la réponse aux exigences de cette demande de offres, une offre peut être jugée "non recevable" et donc exclue de la compétition. </w:t>
      </w:r>
    </w:p>
    <w:p w14:paraId="7330768B">
      <w:pPr>
        <w:pStyle w:val="16"/>
        <w:shd w:val="clear" w:color="auto" w:fill="FFFFFF" w:themeFill="background1"/>
        <w:contextualSpacing/>
        <w:jc w:val="both"/>
        <w:rPr>
          <w:rFonts w:ascii="Times New Roman" w:hAnsi="Times New Roman" w:cs="Times New Roman"/>
          <w:color w:val="212121"/>
          <w:sz w:val="24"/>
          <w:szCs w:val="24"/>
          <w:shd w:val="clear" w:color="auto" w:fill="FFFFFF"/>
          <w:lang w:val="fr-FR"/>
        </w:rPr>
      </w:pPr>
      <w:r>
        <w:rPr>
          <w:rFonts w:ascii="Times New Roman" w:hAnsi="Times New Roman" w:cs="Times New Roman"/>
          <w:color w:val="212121"/>
          <w:sz w:val="24"/>
          <w:szCs w:val="24"/>
          <w:shd w:val="clear" w:color="auto" w:fill="FFFFFF"/>
          <w:lang w:val="fr-FR"/>
        </w:rPr>
        <w:t>Counterpart se réserve également le droit d’user de son pouvoir discrétionnaire en renonçant à des irrégularités non significatives.</w:t>
      </w:r>
    </w:p>
    <w:p w14:paraId="3D39D89A">
      <w:pPr>
        <w:pStyle w:val="16"/>
        <w:shd w:val="clear" w:color="auto" w:fill="FFFFFF" w:themeFill="background1"/>
        <w:contextualSpacing/>
        <w:jc w:val="both"/>
        <w:rPr>
          <w:rFonts w:ascii="Times New Roman" w:hAnsi="Times New Roman" w:cs="Times New Roman"/>
          <w:color w:val="212121"/>
          <w:sz w:val="24"/>
          <w:szCs w:val="24"/>
          <w:lang w:val="fr-FR"/>
        </w:rPr>
      </w:pPr>
    </w:p>
    <w:p w14:paraId="6F377298">
      <w:pPr>
        <w:pStyle w:val="16"/>
        <w:shd w:val="clear" w:color="auto" w:fill="FFFFFF" w:themeFill="background1"/>
        <w:contextualSpacing/>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L'attribution de ce marché se fera uniquement sur la base des offres originales et reçues dans les délais impartis. Cependant, Counterpart se réserve le droit d'effectuer l'une des opérations suivantes :</w:t>
      </w:r>
    </w:p>
    <w:p w14:paraId="3D342B94">
      <w:pPr>
        <w:pStyle w:val="16"/>
        <w:numPr>
          <w:ilvl w:val="0"/>
          <w:numId w:val="18"/>
        </w:numPr>
        <w:shd w:val="clear" w:color="auto" w:fill="FFFFFF" w:themeFill="background1"/>
        <w:contextualSpacing/>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Counterpart peut mener des négociations avec et/ou demander des clarifications à tout soumissionnaire avant l'attribution d’un contrat.</w:t>
      </w:r>
    </w:p>
    <w:p w14:paraId="15789812">
      <w:pPr>
        <w:pStyle w:val="16"/>
        <w:numPr>
          <w:ilvl w:val="0"/>
          <w:numId w:val="18"/>
        </w:numPr>
        <w:shd w:val="clear" w:color="auto" w:fill="FFFFFF" w:themeFill="background1"/>
        <w:contextualSpacing/>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Bien que la préférence soit accordée aux soumissionnaires répondant à toutes les exigences techniques de cette demande de offres, Counterpart peut attribuer un contrat partiel ou répartir le contrat entre différents fournisseurs, si cela est dans l'intérêt du projet McGovern- Dole.</w:t>
      </w:r>
    </w:p>
    <w:p w14:paraId="4E6EB312">
      <w:pPr>
        <w:pStyle w:val="16"/>
        <w:numPr>
          <w:ilvl w:val="0"/>
          <w:numId w:val="18"/>
        </w:numPr>
        <w:shd w:val="clear" w:color="auto" w:fill="FFFFFF" w:themeFill="background1"/>
        <w:contextualSpacing/>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Counterpart peut éventuellement aussi annuler cet appel d’offres à tout moment.</w:t>
      </w:r>
    </w:p>
    <w:p w14:paraId="07D88CCA">
      <w:pPr>
        <w:suppressAutoHyphens/>
        <w:ind w:left="360"/>
        <w:contextualSpacing/>
        <w:jc w:val="both"/>
      </w:pPr>
    </w:p>
    <w:p w14:paraId="199DCD4B">
      <w:pPr>
        <w:pStyle w:val="16"/>
        <w:shd w:val="clear" w:color="auto" w:fill="FFFFFF" w:themeFill="background1"/>
        <w:contextualSpacing/>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 xml:space="preserve">Veuillez noter qu'en soumettant une réponse à cet avis appel d’offres, le soumissionnaire comprend que l’USDA n'est pas une partie à cette sollicitation et le soumissionnaire accepte que toute réclamation ci-dessous doit être présentée - par écrit avec des explications complètes – à Counterpart pour considération, car l’USDA ne tiendra pas compte des réclamations concernant les services effectués par les partenaires d'exécution. </w:t>
      </w:r>
      <w:r>
        <w:rPr>
          <w:rFonts w:ascii="Times New Roman" w:hAnsi="Times New Roman" w:cs="Times New Roman"/>
          <w:b/>
          <w:bCs/>
          <w:color w:val="212121"/>
          <w:sz w:val="24"/>
          <w:szCs w:val="24"/>
          <w:shd w:val="clear" w:color="auto" w:fill="FFFFFF"/>
          <w:lang w:val="fr-FR"/>
        </w:rPr>
        <w:t>Les offres reçues en retard ne seront considérées qu'avec l’aval de COUNTERPART.</w:t>
      </w:r>
    </w:p>
    <w:p w14:paraId="4751FB69">
      <w:pPr>
        <w:pStyle w:val="16"/>
        <w:shd w:val="clear" w:color="auto" w:fill="FFFFFF" w:themeFill="background1"/>
        <w:contextualSpacing/>
        <w:jc w:val="both"/>
        <w:rPr>
          <w:rFonts w:ascii="Times New Roman" w:hAnsi="Times New Roman" w:cs="Times New Roman"/>
          <w:color w:val="212121"/>
          <w:sz w:val="24"/>
          <w:szCs w:val="24"/>
          <w:lang w:val="fr-FR"/>
        </w:rPr>
      </w:pPr>
    </w:p>
    <w:p w14:paraId="55D97AA8">
      <w:pPr>
        <w:pStyle w:val="16"/>
        <w:shd w:val="clear" w:color="auto" w:fill="FFFFFF" w:themeFill="background1"/>
        <w:contextualSpacing/>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Counterpart, à sa seule discrétion, prendra une décision finale sur la réclamation pour le service en question.</w:t>
      </w:r>
    </w:p>
    <w:p w14:paraId="7E478513">
      <w:p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u w:val="single"/>
        </w:rPr>
      </w:pPr>
    </w:p>
    <w:p w14:paraId="7E478514">
      <w:pPr>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212121"/>
        </w:rPr>
      </w:pPr>
      <w:r>
        <w:rPr>
          <w:b/>
          <w:bCs/>
          <w:smallCaps/>
          <w:color w:val="000000" w:themeColor="text1"/>
          <w14:textFill>
            <w14:solidFill>
              <w14:schemeClr w14:val="tx1"/>
            </w14:solidFill>
          </w14:textFill>
        </w:rPr>
        <w:t>I</w:t>
      </w:r>
      <w:r>
        <w:rPr>
          <w:b/>
          <w:bCs/>
          <w:color w:val="212121"/>
        </w:rPr>
        <w:t>NSTRUCTIONS SUR LA PRÉSENTATION DES OFFRES</w:t>
      </w:r>
    </w:p>
    <w:p w14:paraId="7179A04C">
      <w:pPr>
        <w:pStyle w:val="16"/>
        <w:shd w:val="clear" w:color="auto" w:fill="FFFFFF" w:themeFill="background1"/>
        <w:contextualSpacing/>
        <w:jc w:val="both"/>
        <w:rPr>
          <w:rFonts w:ascii="Times New Roman" w:hAnsi="Times New Roman" w:cs="Times New Roman"/>
          <w:b/>
          <w:bCs/>
          <w:color w:val="212121"/>
          <w:sz w:val="24"/>
          <w:szCs w:val="24"/>
          <w:u w:val="single"/>
          <w:lang w:val="fr-FR"/>
        </w:rPr>
      </w:pPr>
    </w:p>
    <w:p w14:paraId="620787C8">
      <w:pPr>
        <w:pStyle w:val="16"/>
        <w:shd w:val="clear" w:color="auto" w:fill="FFFFFF" w:themeFill="background1"/>
        <w:contextualSpacing/>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 xml:space="preserve">Vous êtes invités à soumettre des offres signées et datées au bureau sous plis fermes </w:t>
      </w:r>
      <w:r>
        <w:rPr>
          <w:rFonts w:ascii="Times New Roman" w:hAnsi="Times New Roman" w:cs="Times New Roman"/>
          <w:sz w:val="24"/>
          <w:szCs w:val="24"/>
          <w:lang w:val="fr-FR"/>
        </w:rPr>
        <w:t>Counterpart</w:t>
      </w:r>
      <w:r>
        <w:rPr>
          <w:rFonts w:ascii="Times New Roman" w:hAnsi="Times New Roman" w:cs="Times New Roman"/>
          <w:b/>
          <w:bCs/>
          <w:sz w:val="24"/>
          <w:szCs w:val="24"/>
          <w:lang w:val="fr-FR"/>
        </w:rPr>
        <w:t xml:space="preserve"> Mauritanie </w:t>
      </w:r>
      <w:r>
        <w:rPr>
          <w:rFonts w:ascii="Times New Roman" w:hAnsi="Times New Roman" w:cs="Times New Roman"/>
          <w:sz w:val="24"/>
          <w:szCs w:val="24"/>
          <w:highlight w:val="white"/>
          <w:lang w:val="fr-FR"/>
        </w:rPr>
        <w:t>LOT 254, Tevraghzeyna BP 3933 Nouakchott, Mauritanie au</w:t>
      </w:r>
      <w:r>
        <w:rPr>
          <w:rFonts w:ascii="Times New Roman" w:hAnsi="Times New Roman" w:cs="Times New Roman"/>
          <w:color w:val="212121"/>
          <w:sz w:val="24"/>
          <w:szCs w:val="24"/>
          <w:lang w:val="fr-FR"/>
        </w:rPr>
        <w:t xml:space="preserve"> plus tard à l'heure exacte spécifiée dans cette demande. </w:t>
      </w:r>
    </w:p>
    <w:p w14:paraId="55F0ED61">
      <w:pPr>
        <w:pStyle w:val="16"/>
        <w:shd w:val="clear" w:color="auto" w:fill="FFFFFF" w:themeFill="background1"/>
        <w:contextualSpacing/>
        <w:jc w:val="both"/>
        <w:rPr>
          <w:rFonts w:ascii="Times New Roman" w:hAnsi="Times New Roman" w:cs="Times New Roman"/>
          <w:color w:val="212121"/>
          <w:sz w:val="24"/>
          <w:szCs w:val="24"/>
          <w:lang w:val="fr-FR"/>
        </w:rPr>
      </w:pPr>
    </w:p>
    <w:p w14:paraId="16CF8765">
      <w:pPr>
        <w:pStyle w:val="16"/>
        <w:shd w:val="clear" w:color="auto" w:fill="FFFFFF" w:themeFill="background1"/>
        <w:contextualSpacing/>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Les Soumissionnaires devront fournir des offres comportant les informations suivantes :</w:t>
      </w:r>
    </w:p>
    <w:p w14:paraId="3289E969">
      <w:pPr>
        <w:pStyle w:val="16"/>
        <w:numPr>
          <w:ilvl w:val="0"/>
          <w:numId w:val="19"/>
        </w:numPr>
        <w:shd w:val="clear" w:color="auto" w:fill="FFFFFF" w:themeFill="background1"/>
        <w:contextualSpacing/>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Le numéro de l’appel d’offres</w:t>
      </w:r>
    </w:p>
    <w:p w14:paraId="6FCC3211">
      <w:pPr>
        <w:pStyle w:val="16"/>
        <w:numPr>
          <w:ilvl w:val="0"/>
          <w:numId w:val="19"/>
        </w:numPr>
        <w:shd w:val="clear" w:color="auto" w:fill="FFFFFF" w:themeFill="background1"/>
        <w:contextualSpacing/>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Le nom, les adresses (rue, courriel, autre) et le numéro de téléphone ;</w:t>
      </w:r>
    </w:p>
    <w:p w14:paraId="3C1CED6E">
      <w:pPr>
        <w:pStyle w:val="16"/>
        <w:numPr>
          <w:ilvl w:val="0"/>
          <w:numId w:val="19"/>
        </w:numPr>
        <w:shd w:val="clear" w:color="auto" w:fill="FFFFFF" w:themeFill="background1"/>
        <w:contextualSpacing/>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Lettre d’accompagnement.</w:t>
      </w:r>
    </w:p>
    <w:p w14:paraId="046D5DF8">
      <w:pPr>
        <w:pStyle w:val="16"/>
        <w:numPr>
          <w:ilvl w:val="0"/>
          <w:numId w:val="19"/>
        </w:numPr>
        <w:shd w:val="clear" w:color="auto" w:fill="FFFFFF" w:themeFill="background1"/>
        <w:contextualSpacing/>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Présentation sur la capacité technique de l’imprimerie.</w:t>
      </w:r>
    </w:p>
    <w:p w14:paraId="07A9969D">
      <w:pPr>
        <w:pStyle w:val="16"/>
        <w:numPr>
          <w:ilvl w:val="0"/>
          <w:numId w:val="19"/>
        </w:numPr>
        <w:shd w:val="clear" w:color="auto" w:fill="FFFFFF" w:themeFill="background1"/>
        <w:contextualSpacing/>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Preuve d'éligibilité à mener des activités en Mauritanie en tout conformité avec la législation en vigueur ;</w:t>
      </w:r>
    </w:p>
    <w:p w14:paraId="1003AFD3">
      <w:pPr>
        <w:pStyle w:val="16"/>
        <w:numPr>
          <w:ilvl w:val="0"/>
          <w:numId w:val="19"/>
        </w:numPr>
        <w:shd w:val="clear" w:color="auto" w:fill="FFFFFF" w:themeFill="background1"/>
        <w:contextualSpacing/>
        <w:jc w:val="both"/>
        <w:rPr>
          <w:rFonts w:ascii="Times New Roman" w:hAnsi="Times New Roman" w:cs="Times New Roman"/>
          <w:color w:val="212121"/>
          <w:sz w:val="24"/>
          <w:szCs w:val="24"/>
          <w:lang w:val="en-US"/>
        </w:rPr>
      </w:pPr>
      <w:r>
        <w:rPr>
          <w:rFonts w:ascii="Times New Roman" w:hAnsi="Times New Roman" w:cs="Times New Roman"/>
          <w:color w:val="212121"/>
          <w:sz w:val="24"/>
          <w:szCs w:val="24"/>
          <w:lang w:val="en-US"/>
        </w:rPr>
        <w:t>Informations sur les performances précédentes : inclure au moins 03 attestations dument cachetées avec noms et personne à contacter attestant de l’expérience du soumissionnaire pour des travaux similaires (y compris les points de contact avec les numéros de téléphone et les adresses e-mail) ;</w:t>
      </w:r>
    </w:p>
    <w:p w14:paraId="787CDA43">
      <w:pPr>
        <w:pStyle w:val="16"/>
        <w:numPr>
          <w:ilvl w:val="0"/>
          <w:numId w:val="19"/>
        </w:numPr>
        <w:shd w:val="clear" w:color="auto" w:fill="FFFFFF" w:themeFill="background1"/>
        <w:contextualSpacing/>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Offre financière en MRU</w:t>
      </w:r>
    </w:p>
    <w:p w14:paraId="0F9797A4">
      <w:pPr>
        <w:pStyle w:val="16"/>
        <w:shd w:val="clear" w:color="auto" w:fill="FFFFFF" w:themeFill="background1"/>
        <w:ind w:left="360"/>
        <w:contextualSpacing/>
        <w:jc w:val="both"/>
        <w:rPr>
          <w:rFonts w:ascii="Times New Roman" w:hAnsi="Times New Roman" w:cs="Times New Roman"/>
          <w:color w:val="212121"/>
          <w:sz w:val="24"/>
          <w:szCs w:val="24"/>
          <w:lang w:val="fr-FR"/>
        </w:rPr>
      </w:pPr>
    </w:p>
    <w:p w14:paraId="68CE2769">
      <w:pPr>
        <w:tabs>
          <w:tab w:val="left" w:pos="360"/>
        </w:tabs>
        <w:ind w:left="-360"/>
        <w:contextualSpacing/>
        <w:jc w:val="both"/>
        <w:rPr>
          <w:color w:val="212121"/>
          <w:shd w:val="clear" w:color="auto" w:fill="FFFFFF"/>
        </w:rPr>
      </w:pPr>
      <w:r>
        <w:rPr>
          <w:color w:val="212121"/>
          <w:shd w:val="clear" w:color="auto" w:fill="FFFFFF"/>
        </w:rPr>
        <w:t xml:space="preserve">Il est envisagé qu'un contrat de prestation à prix fixe ferme soit attribué au soumissionnaire qui soumet l’offre la plus compétitive. COUNTERPART se réserve le droit de ne pas attribuer de marché s’il est prouvé que les offres soumises ne répondent pas aux besoins de l'organisation. Les offres doivent être déposées au bureau ou envoyées par courrier électronique au plus tard à la date et à l'heure de clôture. Les offres reçues après l'heure et la date spécifiées seront considérées en retard et ne seront considérées qu'avec l’aval de COUNTERPART. </w:t>
      </w:r>
    </w:p>
    <w:p w14:paraId="47CAD6B6">
      <w:pPr>
        <w:tabs>
          <w:tab w:val="left" w:pos="360"/>
        </w:tabs>
        <w:ind w:left="-360"/>
        <w:contextualSpacing/>
        <w:jc w:val="both"/>
        <w:rPr>
          <w:color w:val="212121"/>
          <w:shd w:val="clear" w:color="auto" w:fill="FFFFFF"/>
        </w:rPr>
      </w:pPr>
      <w:r>
        <w:rPr>
          <w:color w:val="212121"/>
          <w:shd w:val="clear" w:color="auto" w:fill="FFFFFF"/>
        </w:rPr>
        <w:t>Toutes les propositions écrites soumises devront rester valides pour une période d'au moins quatre-vingt-dix (90) jours civils après soumission de l’offre.</w:t>
      </w:r>
    </w:p>
    <w:p w14:paraId="7E478523">
      <w:pPr>
        <w:tabs>
          <w:tab w:val="left" w:pos="360"/>
        </w:tabs>
        <w:ind w:hanging="360"/>
        <w:contextualSpacing/>
        <w:jc w:val="both"/>
      </w:pPr>
    </w:p>
    <w:p w14:paraId="2038AB88">
      <w:pPr>
        <w:pStyle w:val="16"/>
        <w:numPr>
          <w:ilvl w:val="0"/>
          <w:numId w:val="20"/>
        </w:numPr>
        <w:shd w:val="clear" w:color="auto" w:fill="FFFFFF" w:themeFill="background1"/>
        <w:contextualSpacing/>
        <w:jc w:val="both"/>
        <w:rPr>
          <w:rFonts w:ascii="Times New Roman" w:hAnsi="Times New Roman" w:cs="Times New Roman"/>
          <w:b/>
          <w:bCs/>
          <w:color w:val="212121"/>
          <w:sz w:val="24"/>
          <w:szCs w:val="24"/>
          <w:lang w:val="fr-FR"/>
        </w:rPr>
      </w:pPr>
      <w:r>
        <w:rPr>
          <w:rFonts w:ascii="Times New Roman" w:hAnsi="Times New Roman" w:cs="Times New Roman"/>
          <w:b/>
          <w:bCs/>
          <w:color w:val="212121"/>
          <w:sz w:val="24"/>
          <w:szCs w:val="24"/>
          <w:lang w:val="fr-FR"/>
        </w:rPr>
        <w:t>QUESTIONS ET DEMANDES DE CLARIFICATION</w:t>
      </w:r>
    </w:p>
    <w:p w14:paraId="11CF23AC">
      <w:pPr>
        <w:pStyle w:val="16"/>
        <w:shd w:val="clear" w:color="auto" w:fill="FFFFFF" w:themeFill="background1"/>
        <w:contextualSpacing/>
        <w:jc w:val="both"/>
        <w:rPr>
          <w:rFonts w:ascii="Times New Roman" w:hAnsi="Times New Roman" w:cs="Times New Roman"/>
          <w:b/>
          <w:bCs/>
          <w:color w:val="212121"/>
          <w:sz w:val="24"/>
          <w:szCs w:val="24"/>
          <w:lang w:val="fr-FR"/>
        </w:rPr>
      </w:pPr>
    </w:p>
    <w:p w14:paraId="542B35EF">
      <w:pPr>
        <w:pStyle w:val="16"/>
        <w:shd w:val="clear" w:color="auto" w:fill="FFFFFF" w:themeFill="background1"/>
        <w:contextualSpacing/>
        <w:jc w:val="both"/>
        <w:rPr>
          <w:rFonts w:ascii="Times New Roman" w:hAnsi="Times New Roman" w:cs="Times New Roman"/>
          <w:b/>
          <w:bCs/>
          <w:color w:val="212121"/>
          <w:sz w:val="24"/>
          <w:szCs w:val="24"/>
          <w:lang w:val="fr-FR"/>
        </w:rPr>
      </w:pPr>
      <w:r>
        <w:rPr>
          <w:rFonts w:ascii="Times New Roman" w:hAnsi="Times New Roman" w:cs="Times New Roman"/>
          <w:color w:val="212121"/>
          <w:sz w:val="24"/>
          <w:szCs w:val="24"/>
          <w:lang w:val="fr-FR"/>
        </w:rPr>
        <w:t>Les questions concernant les exigences techniques ou administratives de cette demande de offres peuvent être soumises au plus tard le 1</w:t>
      </w:r>
      <w:r>
        <w:rPr>
          <w:rFonts w:hint="default" w:ascii="Times New Roman" w:hAnsi="Times New Roman" w:cs="Times New Roman"/>
          <w:color w:val="212121"/>
          <w:sz w:val="24"/>
          <w:szCs w:val="24"/>
          <w:lang w:val="fr-FR"/>
        </w:rPr>
        <w:t>6</w:t>
      </w:r>
      <w:r>
        <w:rPr>
          <w:rFonts w:ascii="Times New Roman" w:hAnsi="Times New Roman" w:cs="Times New Roman"/>
          <w:color w:val="212121"/>
          <w:sz w:val="24"/>
          <w:szCs w:val="24"/>
          <w:lang w:val="fr-FR"/>
        </w:rPr>
        <w:t xml:space="preserve"> </w:t>
      </w:r>
      <w:r>
        <w:rPr>
          <w:rFonts w:ascii="Times New Roman" w:hAnsi="Times New Roman" w:cs="Times New Roman"/>
          <w:b/>
          <w:bCs/>
          <w:color w:val="212121"/>
          <w:sz w:val="24"/>
          <w:szCs w:val="24"/>
          <w:lang w:val="fr-FR"/>
        </w:rPr>
        <w:t xml:space="preserve">janvier </w:t>
      </w:r>
      <w:r>
        <w:rPr>
          <w:rFonts w:ascii="Times New Roman" w:hAnsi="Times New Roman" w:cs="Times New Roman"/>
          <w:b/>
          <w:bCs/>
          <w:sz w:val="24"/>
          <w:szCs w:val="24"/>
          <w:lang w:val="fr-FR"/>
        </w:rPr>
        <w:t>2025</w:t>
      </w:r>
      <w:r>
        <w:rPr>
          <w:rFonts w:ascii="Times New Roman" w:hAnsi="Times New Roman" w:cs="Times New Roman"/>
          <w:sz w:val="24"/>
          <w:szCs w:val="24"/>
          <w:lang w:val="fr-FR"/>
        </w:rPr>
        <w:t xml:space="preserve"> </w:t>
      </w:r>
      <w:r>
        <w:rPr>
          <w:rFonts w:ascii="Times New Roman" w:hAnsi="Times New Roman" w:cs="Times New Roman"/>
          <w:color w:val="212121"/>
          <w:sz w:val="24"/>
          <w:szCs w:val="24"/>
          <w:lang w:val="fr-FR"/>
        </w:rPr>
        <w:t xml:space="preserve">par courriel à </w:t>
      </w:r>
      <w:r>
        <w:fldChar w:fldCharType="begin"/>
      </w:r>
      <w:r>
        <w:instrText xml:space="preserve"> HYPERLINK "mailto:procurement.mauritania@counterpart.org" \h </w:instrText>
      </w:r>
      <w:r>
        <w:fldChar w:fldCharType="separate"/>
      </w:r>
      <w:r>
        <w:rPr>
          <w:rStyle w:val="17"/>
          <w:rFonts w:ascii="Times New Roman" w:hAnsi="Times New Roman" w:cs="Times New Roman"/>
          <w:sz w:val="24"/>
          <w:szCs w:val="24"/>
          <w:lang w:val="fr-FR"/>
        </w:rPr>
        <w:t>procurement.mauritania@counterpart.org</w:t>
      </w:r>
      <w:r>
        <w:rPr>
          <w:rStyle w:val="17"/>
          <w:rFonts w:ascii="Times New Roman" w:hAnsi="Times New Roman" w:cs="Times New Roman"/>
          <w:sz w:val="24"/>
          <w:szCs w:val="24"/>
          <w:lang w:val="fr-FR"/>
        </w:rPr>
        <w:fldChar w:fldCharType="end"/>
      </w:r>
      <w:r>
        <w:rPr>
          <w:rStyle w:val="17"/>
          <w:rFonts w:ascii="Times New Roman" w:hAnsi="Times New Roman" w:cs="Times New Roman"/>
          <w:sz w:val="24"/>
          <w:szCs w:val="24"/>
          <w:lang w:val="fr-FR"/>
        </w:rPr>
        <w:t xml:space="preserve">. </w:t>
      </w:r>
      <w:r>
        <w:rPr>
          <w:rFonts w:ascii="Times New Roman" w:hAnsi="Times New Roman" w:cs="Times New Roman"/>
          <w:color w:val="212121"/>
          <w:sz w:val="24"/>
          <w:szCs w:val="24"/>
          <w:lang w:val="fr-FR"/>
        </w:rPr>
        <w:t xml:space="preserve">Les questions doivent être soumises uniquement par écrit. </w:t>
      </w:r>
    </w:p>
    <w:p w14:paraId="18C0F5C8">
      <w:pPr>
        <w:pStyle w:val="16"/>
        <w:shd w:val="clear" w:color="auto" w:fill="FFFFFF" w:themeFill="background1"/>
        <w:contextualSpacing/>
        <w:jc w:val="both"/>
        <w:rPr>
          <w:rFonts w:ascii="Times New Roman" w:hAnsi="Times New Roman" w:cs="Times New Roman"/>
          <w:color w:val="212121"/>
          <w:sz w:val="24"/>
          <w:szCs w:val="24"/>
          <w:lang w:val="fr-FR"/>
        </w:rPr>
      </w:pPr>
    </w:p>
    <w:p w14:paraId="3DA1B8F9">
      <w:pPr>
        <w:pStyle w:val="16"/>
        <w:shd w:val="clear" w:color="auto" w:fill="FFFFFF" w:themeFill="background1"/>
        <w:contextualSpacing/>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Les appels téléphoniques ne seront pas acceptés. Les questions et les demandes d'éclaircissement - et les réponses à celles-ci que COUNTERPART estime susceptibles d'intéresser les autres soumissionnaires seront partagées à tous les soumissionnaires à titre d'amendement à la demande de offres.</w:t>
      </w:r>
    </w:p>
    <w:p w14:paraId="0041EE98">
      <w:pPr>
        <w:pStyle w:val="16"/>
        <w:shd w:val="clear" w:color="auto" w:fill="FFFFFF" w:themeFill="background1"/>
        <w:contextualSpacing/>
        <w:jc w:val="both"/>
        <w:rPr>
          <w:rFonts w:ascii="Times New Roman" w:hAnsi="Times New Roman" w:cs="Times New Roman"/>
          <w:color w:val="212121"/>
          <w:sz w:val="24"/>
          <w:szCs w:val="24"/>
          <w:lang w:val="fr-FR"/>
        </w:rPr>
      </w:pPr>
    </w:p>
    <w:p w14:paraId="7C6AF14A">
      <w:pPr>
        <w:pStyle w:val="16"/>
        <w:shd w:val="clear" w:color="auto" w:fill="FFFFFF" w:themeFill="background1"/>
        <w:contextualSpacing/>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 xml:space="preserve">Seules les réponses écrites publiées par COUNTERPART seront considérées comme officielles et auront un poids dans le processus d'appel d'offres et l'évaluation subséquente. </w:t>
      </w:r>
    </w:p>
    <w:p w14:paraId="2DB7AD4E">
      <w:pPr>
        <w:pStyle w:val="16"/>
        <w:shd w:val="clear" w:color="auto" w:fill="FFFFFF" w:themeFill="background1"/>
        <w:contextualSpacing/>
        <w:jc w:val="both"/>
        <w:rPr>
          <w:rFonts w:ascii="Times New Roman" w:hAnsi="Times New Roman" w:cs="Times New Roman"/>
          <w:color w:val="212121"/>
          <w:sz w:val="24"/>
          <w:szCs w:val="24"/>
          <w:lang w:val="fr-FR"/>
        </w:rPr>
      </w:pPr>
      <w:r>
        <w:rPr>
          <w:rFonts w:ascii="Times New Roman" w:hAnsi="Times New Roman" w:cs="Times New Roman"/>
          <w:color w:val="212121"/>
          <w:sz w:val="24"/>
          <w:szCs w:val="24"/>
          <w:lang w:val="fr-FR"/>
        </w:rPr>
        <w:t>Toute information verbale reçue des employés de COUNTERPART ou de toute autre entité ne devra pas être considérée comme une réponse officielle à toute question concernant cette demande de offres.</w:t>
      </w:r>
    </w:p>
    <w:p w14:paraId="7A805024">
      <w:pPr>
        <w:pStyle w:val="16"/>
        <w:shd w:val="clear" w:color="auto" w:fill="FFFFFF" w:themeFill="background1"/>
        <w:contextualSpacing/>
        <w:jc w:val="both"/>
        <w:rPr>
          <w:rFonts w:ascii="Times New Roman" w:hAnsi="Times New Roman" w:cs="Times New Roman"/>
          <w:color w:val="212121"/>
          <w:sz w:val="24"/>
          <w:szCs w:val="24"/>
          <w:lang w:val="fr-FR"/>
        </w:rPr>
      </w:pPr>
    </w:p>
    <w:p w14:paraId="278F67DF">
      <w:pPr>
        <w:contextualSpacing/>
        <w:jc w:val="both"/>
        <w:rPr>
          <w:color w:val="212121"/>
        </w:rPr>
      </w:pPr>
      <w:r>
        <w:rPr>
          <w:color w:val="212121"/>
        </w:rPr>
        <w:t>Tout soumissionnaire qui sera tenté d’entrer en contact, dans le cadre de cet appel d’offres, avec un membre du Personnel de Counterpart International par une voie autre que celle autorisée risquera une disqualification de son offre. Cette tentative pourrait même motiver une annulation de cet Appel d’Offres.</w:t>
      </w:r>
    </w:p>
    <w:p w14:paraId="7AC643AD">
      <w:pPr>
        <w:contextualSpacing/>
        <w:jc w:val="both"/>
        <w:rPr>
          <w:color w:val="212121"/>
        </w:rPr>
      </w:pPr>
    </w:p>
    <w:p w14:paraId="285E7F31">
      <w:pPr>
        <w:contextualSpacing/>
        <w:jc w:val="both"/>
        <w:rPr>
          <w:color w:val="212121"/>
        </w:rPr>
      </w:pPr>
    </w:p>
    <w:p w14:paraId="439093FA">
      <w:pPr>
        <w:pStyle w:val="16"/>
        <w:numPr>
          <w:ilvl w:val="0"/>
          <w:numId w:val="20"/>
        </w:numPr>
        <w:shd w:val="clear" w:color="auto" w:fill="FFFFFF" w:themeFill="background1"/>
        <w:contextualSpacing/>
        <w:jc w:val="both"/>
        <w:rPr>
          <w:rFonts w:ascii="Times New Roman" w:hAnsi="Times New Roman" w:cs="Times New Roman"/>
          <w:b/>
          <w:bCs/>
          <w:color w:val="212121"/>
          <w:sz w:val="24"/>
          <w:szCs w:val="24"/>
          <w:lang w:val="fr-FR"/>
        </w:rPr>
      </w:pPr>
      <w:r>
        <w:rPr>
          <w:rFonts w:ascii="Times New Roman" w:hAnsi="Times New Roman" w:cs="Times New Roman"/>
          <w:b/>
          <w:bCs/>
          <w:color w:val="212121"/>
          <w:sz w:val="24"/>
          <w:szCs w:val="24"/>
          <w:lang w:val="fr-FR"/>
        </w:rPr>
        <w:t>NOTIFICATION DE SÉLECTION</w:t>
      </w:r>
    </w:p>
    <w:p w14:paraId="1C89BFFB">
      <w:pPr>
        <w:spacing w:after="160"/>
        <w:contextualSpacing/>
        <w:jc w:val="both"/>
        <w:rPr>
          <w:color w:val="212121"/>
          <w:shd w:val="clear" w:color="auto" w:fill="FFFFFF"/>
        </w:rPr>
      </w:pPr>
      <w:r>
        <w:br w:type="textWrapping"/>
      </w:r>
      <w:r>
        <w:rPr>
          <w:color w:val="212121"/>
          <w:shd w:val="clear" w:color="auto" w:fill="FFFFFF"/>
        </w:rPr>
        <w:t xml:space="preserve">Avant la période d'expiration de la validité de la proposition, COUNTERPART avisera le soumissionnaire qui a déposé l’offre la plus compétitive par écrit ou par courriel. </w:t>
      </w:r>
    </w:p>
    <w:p w14:paraId="6B96B1B5">
      <w:pPr>
        <w:spacing w:after="160"/>
        <w:contextualSpacing/>
        <w:jc w:val="both"/>
        <w:rPr>
          <w:color w:val="212121"/>
          <w:shd w:val="clear" w:color="auto" w:fill="FFFFFF"/>
        </w:rPr>
      </w:pPr>
      <w:r>
        <w:rPr>
          <w:color w:val="212121"/>
          <w:shd w:val="clear" w:color="auto" w:fill="FFFFFF"/>
        </w:rPr>
        <w:t>Des clarifications et une révision des erreurs et omissions mineures peuvent être demandées. À la fin de l'un ou de l'autre, le soumissionnaire pourra être autorisé à déposer une offre révisée.</w:t>
      </w:r>
    </w:p>
    <w:p w14:paraId="44292F6C">
      <w:pPr>
        <w:spacing w:after="160"/>
        <w:contextualSpacing/>
        <w:jc w:val="both"/>
        <w:rPr>
          <w:color w:val="212121"/>
        </w:rPr>
      </w:pPr>
    </w:p>
    <w:p w14:paraId="0F2C6F6F">
      <w:pPr>
        <w:spacing w:after="160"/>
        <w:contextualSpacing/>
        <w:jc w:val="both"/>
        <w:rPr>
          <w:b/>
          <w:bCs/>
          <w:color w:val="212121"/>
          <w:u w:val="single"/>
        </w:rPr>
      </w:pPr>
      <w:r>
        <w:rPr>
          <w:b/>
          <w:bCs/>
          <w:u w:val="single"/>
        </w:rPr>
        <w:t xml:space="preserve">Section 1 : </w:t>
      </w:r>
      <w:r>
        <w:rPr>
          <w:b/>
          <w:bCs/>
          <w:color w:val="212121"/>
          <w:u w:val="single"/>
        </w:rPr>
        <w:t>Liste de vérification de l'offre</w:t>
      </w:r>
    </w:p>
    <w:p w14:paraId="36BBA069">
      <w:pPr>
        <w:contextualSpacing/>
        <w:jc w:val="both"/>
        <w:rPr>
          <w:color w:val="212121"/>
          <w:shd w:val="clear" w:color="auto" w:fill="FFFFFF"/>
        </w:rPr>
      </w:pPr>
      <w:r>
        <w:rPr>
          <w:color w:val="212121"/>
          <w:shd w:val="clear" w:color="auto" w:fill="FFFFFF"/>
        </w:rPr>
        <w:t xml:space="preserve">Pour aider les soumissionnaires à préparer leurs propositions, la liste de contrôle suivante résume la documentation pour inclure une offre en réponse à cette demande de offres : </w:t>
      </w:r>
    </w:p>
    <w:p w14:paraId="5705A0A1">
      <w:pPr>
        <w:contextualSpacing/>
        <w:jc w:val="both"/>
        <w:rPr>
          <w:color w:val="212121"/>
          <w:shd w:val="clear" w:color="auto" w:fill="FFFFFF"/>
        </w:rPr>
      </w:pPr>
      <w:r>
        <w:rPr>
          <w:color w:val="212121"/>
          <w:shd w:val="clear" w:color="auto" w:fill="FFFFFF"/>
        </w:rPr>
        <w:t xml:space="preserve">□ Lettre d'accompagnement, signée par un représentant autorisé du soumissionnaire (voir section 3 pour le modèle) </w:t>
      </w:r>
    </w:p>
    <w:p w14:paraId="0DF01B14">
      <w:pPr>
        <w:contextualSpacing/>
        <w:jc w:val="both"/>
        <w:rPr>
          <w:color w:val="212121"/>
          <w:shd w:val="clear" w:color="auto" w:fill="FFFFFF"/>
        </w:rPr>
      </w:pPr>
      <w:r>
        <w:rPr>
          <w:color w:val="212121"/>
          <w:shd w:val="clear" w:color="auto" w:fill="FFFFFF"/>
        </w:rPr>
        <w:t xml:space="preserve">□ Offres officielles, y compris les spécifications de services offerts </w:t>
      </w:r>
    </w:p>
    <w:p w14:paraId="4F4B98E5">
      <w:pPr>
        <w:contextualSpacing/>
        <w:jc w:val="both"/>
        <w:rPr>
          <w:color w:val="212121"/>
          <w:shd w:val="clear" w:color="auto" w:fill="FFFFFF"/>
        </w:rPr>
      </w:pPr>
      <w:r>
        <w:rPr>
          <w:color w:val="212121"/>
          <w:shd w:val="clear" w:color="auto" w:fill="FFFFFF"/>
        </w:rPr>
        <w:t>□ Copie du registre de commerce, NIF et Licence.</w:t>
      </w:r>
    </w:p>
    <w:p w14:paraId="285CA57A">
      <w:pPr>
        <w:contextualSpacing/>
        <w:jc w:val="both"/>
      </w:pPr>
    </w:p>
    <w:p w14:paraId="22355FBC">
      <w:pPr>
        <w:contextualSpacing/>
        <w:jc w:val="both"/>
        <w:rPr>
          <w:b/>
          <w:bCs/>
          <w:u w:val="single"/>
        </w:rPr>
      </w:pPr>
      <w:r>
        <w:rPr>
          <w:b/>
          <w:bCs/>
          <w:u w:val="single"/>
        </w:rPr>
        <w:t>Section 2 : Spécifications Techniques requises (voir articles 3)</w:t>
      </w:r>
    </w:p>
    <w:p w14:paraId="74A68144">
      <w:pPr>
        <w:contextualSpacing/>
        <w:jc w:val="both"/>
        <w:rPr>
          <w:i/>
          <w:iCs/>
        </w:rPr>
      </w:pPr>
      <w:r>
        <w:rPr>
          <w:i/>
          <w:iCs/>
        </w:rPr>
        <w:t>Le tableau ci-dessous contient les exigences techniques des produits / services. Les soumissionnaires sont priés de fournir des devis contenant les informations ci-dessous, sur du papier à en-tête ou un format de devis officiel. Si cela n’est pas possible, les soumissionnaires peuvent compléter cette section 3 et en envoyer une version signée / cachetée à Counterpart</w:t>
      </w:r>
    </w:p>
    <w:p w14:paraId="7E478540">
      <w:pPr>
        <w:contextualSpacing/>
      </w:pPr>
    </w:p>
    <w:tbl>
      <w:tblPr>
        <w:tblStyle w:val="9"/>
        <w:tblW w:w="9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20"/>
        <w:gridCol w:w="4050"/>
        <w:gridCol w:w="1530"/>
        <w:gridCol w:w="1530"/>
        <w:gridCol w:w="1530"/>
      </w:tblGrid>
      <w:tr w14:paraId="7E478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720" w:type="dxa"/>
            <w:shd w:val="clear" w:color="auto" w:fill="auto"/>
            <w:vAlign w:val="center"/>
          </w:tcPr>
          <w:p w14:paraId="7E478541">
            <w:pPr>
              <w:widowControl w:val="0"/>
              <w:contextualSpacing/>
              <w:jc w:val="center"/>
              <w:rPr>
                <w:b/>
                <w:bCs/>
              </w:rPr>
            </w:pPr>
            <w:r>
              <w:rPr>
                <w:b/>
                <w:bCs/>
              </w:rPr>
              <w:t>#</w:t>
            </w:r>
          </w:p>
        </w:tc>
        <w:tc>
          <w:tcPr>
            <w:tcW w:w="4050" w:type="dxa"/>
            <w:shd w:val="clear" w:color="auto" w:fill="auto"/>
            <w:vAlign w:val="center"/>
          </w:tcPr>
          <w:p w14:paraId="7E478542">
            <w:pPr>
              <w:widowControl w:val="0"/>
              <w:contextualSpacing/>
              <w:jc w:val="center"/>
              <w:rPr>
                <w:b/>
                <w:bCs/>
              </w:rPr>
            </w:pPr>
            <w:r>
              <w:rPr>
                <w:b/>
                <w:bCs/>
              </w:rPr>
              <w:t>Description et Spécifications</w:t>
            </w:r>
          </w:p>
        </w:tc>
        <w:tc>
          <w:tcPr>
            <w:tcW w:w="1530" w:type="dxa"/>
            <w:shd w:val="clear" w:color="auto" w:fill="auto"/>
            <w:vAlign w:val="center"/>
          </w:tcPr>
          <w:p w14:paraId="7E478543">
            <w:pPr>
              <w:widowControl w:val="0"/>
              <w:contextualSpacing/>
              <w:jc w:val="center"/>
              <w:rPr>
                <w:b/>
                <w:bCs/>
              </w:rPr>
            </w:pPr>
            <w:r>
              <w:rPr>
                <w:b/>
                <w:bCs/>
              </w:rPr>
              <w:t>Qté</w:t>
            </w:r>
          </w:p>
        </w:tc>
        <w:tc>
          <w:tcPr>
            <w:tcW w:w="1530" w:type="dxa"/>
            <w:shd w:val="clear" w:color="auto" w:fill="auto"/>
            <w:vAlign w:val="center"/>
          </w:tcPr>
          <w:p w14:paraId="7E478545">
            <w:pPr>
              <w:widowControl w:val="0"/>
              <w:contextualSpacing/>
              <w:jc w:val="center"/>
              <w:rPr>
                <w:b/>
                <w:bCs/>
              </w:rPr>
            </w:pPr>
            <w:r>
              <w:rPr>
                <w:b/>
                <w:bCs/>
              </w:rPr>
              <w:t>Prix Unitaire</w:t>
            </w:r>
          </w:p>
          <w:p w14:paraId="7E478546">
            <w:pPr>
              <w:widowControl w:val="0"/>
              <w:contextualSpacing/>
              <w:jc w:val="center"/>
              <w:rPr>
                <w:b/>
                <w:bCs/>
              </w:rPr>
            </w:pPr>
            <w:r>
              <w:t>(MRU)</w:t>
            </w:r>
          </w:p>
        </w:tc>
        <w:tc>
          <w:tcPr>
            <w:tcW w:w="1530" w:type="dxa"/>
            <w:shd w:val="clear" w:color="auto" w:fill="auto"/>
            <w:vAlign w:val="center"/>
          </w:tcPr>
          <w:p w14:paraId="7E478547">
            <w:pPr>
              <w:widowControl w:val="0"/>
              <w:contextualSpacing/>
              <w:jc w:val="center"/>
              <w:rPr>
                <w:b/>
                <w:bCs/>
              </w:rPr>
            </w:pPr>
            <w:r>
              <w:rPr>
                <w:b/>
                <w:bCs/>
              </w:rPr>
              <w:t>Prix Total</w:t>
            </w:r>
          </w:p>
          <w:p w14:paraId="7E478548">
            <w:pPr>
              <w:widowControl w:val="0"/>
              <w:contextualSpacing/>
              <w:jc w:val="center"/>
              <w:rPr>
                <w:b/>
                <w:bCs/>
              </w:rPr>
            </w:pPr>
            <w:r>
              <w:t>(MRU)</w:t>
            </w:r>
          </w:p>
        </w:tc>
      </w:tr>
      <w:tr w14:paraId="7E478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2" w:hRule="atLeast"/>
        </w:trPr>
        <w:tc>
          <w:tcPr>
            <w:tcW w:w="720" w:type="dxa"/>
            <w:vAlign w:val="center"/>
          </w:tcPr>
          <w:p w14:paraId="7E47854A">
            <w:pPr>
              <w:widowControl w:val="0"/>
              <w:contextualSpacing/>
              <w:jc w:val="center"/>
            </w:pPr>
            <w:r>
              <w:t>1</w:t>
            </w:r>
          </w:p>
        </w:tc>
        <w:tc>
          <w:tcPr>
            <w:tcW w:w="4050" w:type="dxa"/>
          </w:tcPr>
          <w:p w14:paraId="7E478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212121"/>
              </w:rPr>
            </w:pPr>
          </w:p>
        </w:tc>
        <w:tc>
          <w:tcPr>
            <w:tcW w:w="1530" w:type="dxa"/>
          </w:tcPr>
          <w:p w14:paraId="7E478561">
            <w:pPr>
              <w:widowControl w:val="0"/>
              <w:contextualSpacing/>
              <w:jc w:val="center"/>
              <w:rPr>
                <w:color w:val="212121"/>
              </w:rPr>
            </w:pPr>
          </w:p>
        </w:tc>
        <w:tc>
          <w:tcPr>
            <w:tcW w:w="1530" w:type="dxa"/>
            <w:vAlign w:val="center"/>
          </w:tcPr>
          <w:p w14:paraId="7E478563">
            <w:pPr>
              <w:widowControl w:val="0"/>
              <w:contextualSpacing/>
              <w:jc w:val="right"/>
            </w:pPr>
          </w:p>
        </w:tc>
        <w:tc>
          <w:tcPr>
            <w:tcW w:w="1530" w:type="dxa"/>
            <w:vAlign w:val="center"/>
          </w:tcPr>
          <w:p w14:paraId="7E478564">
            <w:pPr>
              <w:widowControl w:val="0"/>
              <w:contextualSpacing/>
              <w:jc w:val="right"/>
            </w:pPr>
          </w:p>
        </w:tc>
      </w:tr>
      <w:tr w14:paraId="7E478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720" w:type="dxa"/>
            <w:vAlign w:val="center"/>
          </w:tcPr>
          <w:p w14:paraId="7E478566">
            <w:pPr>
              <w:widowControl w:val="0"/>
              <w:contextualSpacing/>
              <w:jc w:val="center"/>
            </w:pPr>
            <w:r>
              <w:t>2</w:t>
            </w:r>
          </w:p>
        </w:tc>
        <w:tc>
          <w:tcPr>
            <w:tcW w:w="4050" w:type="dxa"/>
          </w:tcPr>
          <w:p w14:paraId="7E478567">
            <w:pPr>
              <w:widowControl w:val="0"/>
              <w:contextualSpacing/>
              <w:rPr>
                <w:color w:val="212121"/>
              </w:rPr>
            </w:pPr>
          </w:p>
        </w:tc>
        <w:tc>
          <w:tcPr>
            <w:tcW w:w="1530" w:type="dxa"/>
          </w:tcPr>
          <w:p w14:paraId="7E478568">
            <w:pPr>
              <w:widowControl w:val="0"/>
              <w:contextualSpacing/>
              <w:jc w:val="center"/>
              <w:rPr>
                <w:color w:val="212121"/>
              </w:rPr>
            </w:pPr>
          </w:p>
        </w:tc>
        <w:tc>
          <w:tcPr>
            <w:tcW w:w="1530" w:type="dxa"/>
            <w:vAlign w:val="center"/>
          </w:tcPr>
          <w:p w14:paraId="7E47856A">
            <w:pPr>
              <w:widowControl w:val="0"/>
              <w:contextualSpacing/>
              <w:jc w:val="right"/>
            </w:pPr>
          </w:p>
        </w:tc>
        <w:tc>
          <w:tcPr>
            <w:tcW w:w="1530" w:type="dxa"/>
            <w:vAlign w:val="center"/>
          </w:tcPr>
          <w:p w14:paraId="7E47856B">
            <w:pPr>
              <w:widowControl w:val="0"/>
              <w:contextualSpacing/>
              <w:jc w:val="right"/>
            </w:pPr>
          </w:p>
        </w:tc>
      </w:tr>
      <w:tr w14:paraId="4FE34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720" w:type="dxa"/>
            <w:vAlign w:val="center"/>
          </w:tcPr>
          <w:p w14:paraId="6AFF2CB5">
            <w:pPr>
              <w:widowControl w:val="0"/>
              <w:contextualSpacing/>
              <w:jc w:val="center"/>
            </w:pPr>
            <w:r>
              <w:t>3</w:t>
            </w:r>
          </w:p>
        </w:tc>
        <w:tc>
          <w:tcPr>
            <w:tcW w:w="4050" w:type="dxa"/>
          </w:tcPr>
          <w:p w14:paraId="5A63009B">
            <w:pPr>
              <w:widowControl w:val="0"/>
              <w:contextualSpacing/>
              <w:rPr>
                <w:color w:val="212121"/>
              </w:rPr>
            </w:pPr>
          </w:p>
        </w:tc>
        <w:tc>
          <w:tcPr>
            <w:tcW w:w="1530" w:type="dxa"/>
          </w:tcPr>
          <w:p w14:paraId="231B2708">
            <w:pPr>
              <w:widowControl w:val="0"/>
              <w:contextualSpacing/>
              <w:jc w:val="center"/>
              <w:rPr>
                <w:color w:val="212121"/>
              </w:rPr>
            </w:pPr>
          </w:p>
        </w:tc>
        <w:tc>
          <w:tcPr>
            <w:tcW w:w="1530" w:type="dxa"/>
            <w:vAlign w:val="center"/>
          </w:tcPr>
          <w:p w14:paraId="63B526E2">
            <w:pPr>
              <w:widowControl w:val="0"/>
              <w:contextualSpacing/>
              <w:jc w:val="right"/>
            </w:pPr>
          </w:p>
        </w:tc>
        <w:tc>
          <w:tcPr>
            <w:tcW w:w="1530" w:type="dxa"/>
            <w:vAlign w:val="center"/>
          </w:tcPr>
          <w:p w14:paraId="37A1A928">
            <w:pPr>
              <w:widowControl w:val="0"/>
              <w:contextualSpacing/>
              <w:jc w:val="right"/>
            </w:pPr>
          </w:p>
        </w:tc>
      </w:tr>
      <w:tr w14:paraId="7676D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720" w:type="dxa"/>
            <w:vAlign w:val="center"/>
          </w:tcPr>
          <w:p w14:paraId="22CD1A0A">
            <w:pPr>
              <w:widowControl w:val="0"/>
              <w:contextualSpacing/>
              <w:jc w:val="center"/>
            </w:pPr>
            <w:r>
              <w:t>4</w:t>
            </w:r>
          </w:p>
        </w:tc>
        <w:tc>
          <w:tcPr>
            <w:tcW w:w="4050" w:type="dxa"/>
          </w:tcPr>
          <w:p w14:paraId="316CB658">
            <w:pPr>
              <w:widowControl w:val="0"/>
              <w:contextualSpacing/>
              <w:rPr>
                <w:color w:val="212121"/>
              </w:rPr>
            </w:pPr>
          </w:p>
        </w:tc>
        <w:tc>
          <w:tcPr>
            <w:tcW w:w="1530" w:type="dxa"/>
          </w:tcPr>
          <w:p w14:paraId="329C171A">
            <w:pPr>
              <w:widowControl w:val="0"/>
              <w:contextualSpacing/>
              <w:jc w:val="center"/>
              <w:rPr>
                <w:color w:val="212121"/>
              </w:rPr>
            </w:pPr>
          </w:p>
        </w:tc>
        <w:tc>
          <w:tcPr>
            <w:tcW w:w="1530" w:type="dxa"/>
            <w:vAlign w:val="center"/>
          </w:tcPr>
          <w:p w14:paraId="292EFEB6">
            <w:pPr>
              <w:widowControl w:val="0"/>
              <w:contextualSpacing/>
              <w:jc w:val="right"/>
            </w:pPr>
          </w:p>
        </w:tc>
        <w:tc>
          <w:tcPr>
            <w:tcW w:w="1530" w:type="dxa"/>
            <w:vAlign w:val="center"/>
          </w:tcPr>
          <w:p w14:paraId="0AEE63C9">
            <w:pPr>
              <w:widowControl w:val="0"/>
              <w:contextualSpacing/>
              <w:jc w:val="right"/>
            </w:pPr>
          </w:p>
        </w:tc>
      </w:tr>
      <w:tr w14:paraId="643B6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720" w:type="dxa"/>
            <w:vAlign w:val="center"/>
          </w:tcPr>
          <w:p w14:paraId="49197C68">
            <w:pPr>
              <w:widowControl w:val="0"/>
              <w:contextualSpacing/>
              <w:jc w:val="center"/>
            </w:pPr>
            <w:r>
              <w:t>5</w:t>
            </w:r>
          </w:p>
        </w:tc>
        <w:tc>
          <w:tcPr>
            <w:tcW w:w="4050" w:type="dxa"/>
          </w:tcPr>
          <w:p w14:paraId="71C68B81">
            <w:pPr>
              <w:widowControl w:val="0"/>
              <w:contextualSpacing/>
              <w:rPr>
                <w:color w:val="212121"/>
              </w:rPr>
            </w:pPr>
          </w:p>
        </w:tc>
        <w:tc>
          <w:tcPr>
            <w:tcW w:w="1530" w:type="dxa"/>
          </w:tcPr>
          <w:p w14:paraId="68E2B904">
            <w:pPr>
              <w:widowControl w:val="0"/>
              <w:contextualSpacing/>
              <w:jc w:val="center"/>
              <w:rPr>
                <w:color w:val="212121"/>
              </w:rPr>
            </w:pPr>
          </w:p>
        </w:tc>
        <w:tc>
          <w:tcPr>
            <w:tcW w:w="1530" w:type="dxa"/>
            <w:vAlign w:val="center"/>
          </w:tcPr>
          <w:p w14:paraId="5CE0B0AF">
            <w:pPr>
              <w:widowControl w:val="0"/>
              <w:contextualSpacing/>
              <w:jc w:val="right"/>
            </w:pPr>
          </w:p>
        </w:tc>
        <w:tc>
          <w:tcPr>
            <w:tcW w:w="1530" w:type="dxa"/>
            <w:vAlign w:val="center"/>
          </w:tcPr>
          <w:p w14:paraId="32E7086F">
            <w:pPr>
              <w:widowControl w:val="0"/>
              <w:contextualSpacing/>
              <w:jc w:val="right"/>
            </w:pPr>
          </w:p>
        </w:tc>
      </w:tr>
      <w:tr w14:paraId="019B2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720" w:type="dxa"/>
            <w:vAlign w:val="center"/>
          </w:tcPr>
          <w:p w14:paraId="553F33C6">
            <w:pPr>
              <w:widowControl w:val="0"/>
              <w:contextualSpacing/>
              <w:jc w:val="center"/>
            </w:pPr>
            <w:r>
              <w:t>6</w:t>
            </w:r>
          </w:p>
        </w:tc>
        <w:tc>
          <w:tcPr>
            <w:tcW w:w="4050" w:type="dxa"/>
          </w:tcPr>
          <w:p w14:paraId="74B21A41">
            <w:pPr>
              <w:widowControl w:val="0"/>
              <w:contextualSpacing/>
              <w:rPr>
                <w:color w:val="212121"/>
              </w:rPr>
            </w:pPr>
          </w:p>
        </w:tc>
        <w:tc>
          <w:tcPr>
            <w:tcW w:w="1530" w:type="dxa"/>
          </w:tcPr>
          <w:p w14:paraId="6FA61BF5">
            <w:pPr>
              <w:widowControl w:val="0"/>
              <w:contextualSpacing/>
              <w:jc w:val="center"/>
              <w:rPr>
                <w:color w:val="212121"/>
              </w:rPr>
            </w:pPr>
          </w:p>
        </w:tc>
        <w:tc>
          <w:tcPr>
            <w:tcW w:w="1530" w:type="dxa"/>
            <w:vAlign w:val="center"/>
          </w:tcPr>
          <w:p w14:paraId="528B7905">
            <w:pPr>
              <w:widowControl w:val="0"/>
              <w:contextualSpacing/>
              <w:jc w:val="right"/>
            </w:pPr>
          </w:p>
        </w:tc>
        <w:tc>
          <w:tcPr>
            <w:tcW w:w="1530" w:type="dxa"/>
            <w:vAlign w:val="center"/>
          </w:tcPr>
          <w:p w14:paraId="4BAE87C3">
            <w:pPr>
              <w:widowControl w:val="0"/>
              <w:contextualSpacing/>
              <w:jc w:val="right"/>
            </w:pPr>
          </w:p>
        </w:tc>
      </w:tr>
      <w:tr w14:paraId="2AF3E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720" w:type="dxa"/>
            <w:vAlign w:val="center"/>
          </w:tcPr>
          <w:p w14:paraId="369DFB6E">
            <w:pPr>
              <w:widowControl w:val="0"/>
              <w:contextualSpacing/>
              <w:jc w:val="center"/>
            </w:pPr>
            <w:r>
              <w:t>7</w:t>
            </w:r>
          </w:p>
        </w:tc>
        <w:tc>
          <w:tcPr>
            <w:tcW w:w="4050" w:type="dxa"/>
          </w:tcPr>
          <w:p w14:paraId="65C380AD">
            <w:pPr>
              <w:widowControl w:val="0"/>
              <w:contextualSpacing/>
              <w:rPr>
                <w:color w:val="212121"/>
              </w:rPr>
            </w:pPr>
          </w:p>
        </w:tc>
        <w:tc>
          <w:tcPr>
            <w:tcW w:w="1530" w:type="dxa"/>
          </w:tcPr>
          <w:p w14:paraId="182C6543">
            <w:pPr>
              <w:widowControl w:val="0"/>
              <w:contextualSpacing/>
              <w:jc w:val="center"/>
              <w:rPr>
                <w:color w:val="212121"/>
              </w:rPr>
            </w:pPr>
          </w:p>
        </w:tc>
        <w:tc>
          <w:tcPr>
            <w:tcW w:w="1530" w:type="dxa"/>
            <w:vAlign w:val="center"/>
          </w:tcPr>
          <w:p w14:paraId="7A356AD7">
            <w:pPr>
              <w:widowControl w:val="0"/>
              <w:contextualSpacing/>
              <w:jc w:val="right"/>
            </w:pPr>
          </w:p>
        </w:tc>
        <w:tc>
          <w:tcPr>
            <w:tcW w:w="1530" w:type="dxa"/>
            <w:vAlign w:val="center"/>
          </w:tcPr>
          <w:p w14:paraId="6E50C073">
            <w:pPr>
              <w:widowControl w:val="0"/>
              <w:contextualSpacing/>
              <w:jc w:val="right"/>
            </w:pPr>
          </w:p>
        </w:tc>
      </w:tr>
      <w:tr w14:paraId="6D0E3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720" w:type="dxa"/>
            <w:vAlign w:val="center"/>
          </w:tcPr>
          <w:p w14:paraId="6B44F2E1">
            <w:pPr>
              <w:widowControl w:val="0"/>
              <w:contextualSpacing/>
              <w:jc w:val="center"/>
            </w:pPr>
            <w:r>
              <w:t>8</w:t>
            </w:r>
          </w:p>
        </w:tc>
        <w:tc>
          <w:tcPr>
            <w:tcW w:w="4050" w:type="dxa"/>
          </w:tcPr>
          <w:p w14:paraId="4F269188">
            <w:pPr>
              <w:widowControl w:val="0"/>
              <w:contextualSpacing/>
              <w:rPr>
                <w:color w:val="212121"/>
              </w:rPr>
            </w:pPr>
          </w:p>
        </w:tc>
        <w:tc>
          <w:tcPr>
            <w:tcW w:w="1530" w:type="dxa"/>
          </w:tcPr>
          <w:p w14:paraId="15A9E88C">
            <w:pPr>
              <w:widowControl w:val="0"/>
              <w:contextualSpacing/>
              <w:jc w:val="center"/>
              <w:rPr>
                <w:color w:val="212121"/>
              </w:rPr>
            </w:pPr>
          </w:p>
        </w:tc>
        <w:tc>
          <w:tcPr>
            <w:tcW w:w="1530" w:type="dxa"/>
            <w:vAlign w:val="center"/>
          </w:tcPr>
          <w:p w14:paraId="324B0A0B">
            <w:pPr>
              <w:widowControl w:val="0"/>
              <w:contextualSpacing/>
              <w:jc w:val="right"/>
            </w:pPr>
          </w:p>
        </w:tc>
        <w:tc>
          <w:tcPr>
            <w:tcW w:w="1530" w:type="dxa"/>
            <w:vAlign w:val="center"/>
          </w:tcPr>
          <w:p w14:paraId="03CD10E8">
            <w:pPr>
              <w:widowControl w:val="0"/>
              <w:contextualSpacing/>
              <w:jc w:val="right"/>
            </w:pPr>
          </w:p>
        </w:tc>
      </w:tr>
      <w:tr w14:paraId="7E478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30" w:hRule="atLeast"/>
        </w:trPr>
        <w:tc>
          <w:tcPr>
            <w:tcW w:w="7830" w:type="dxa"/>
            <w:gridSpan w:val="4"/>
            <w:tcBorders>
              <w:top w:val="single" w:color="000000" w:themeColor="text1" w:sz="4" w:space="0"/>
            </w:tcBorders>
            <w:vAlign w:val="center"/>
          </w:tcPr>
          <w:p w14:paraId="7E47857B">
            <w:pPr>
              <w:widowControl w:val="0"/>
              <w:contextualSpacing/>
              <w:jc w:val="right"/>
              <w:rPr>
                <w:b/>
                <w:bCs/>
              </w:rPr>
            </w:pPr>
            <w:r>
              <w:rPr>
                <w:b/>
                <w:bCs/>
              </w:rPr>
              <w:t>Sous total :</w:t>
            </w:r>
          </w:p>
        </w:tc>
        <w:tc>
          <w:tcPr>
            <w:tcW w:w="1530" w:type="dxa"/>
            <w:tcBorders>
              <w:top w:val="single" w:color="000000" w:themeColor="text1" w:sz="4" w:space="0"/>
            </w:tcBorders>
            <w:vAlign w:val="center"/>
          </w:tcPr>
          <w:p w14:paraId="7E47857C">
            <w:pPr>
              <w:widowControl w:val="0"/>
              <w:contextualSpacing/>
              <w:jc w:val="right"/>
            </w:pPr>
          </w:p>
        </w:tc>
      </w:tr>
      <w:tr w14:paraId="7E478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trPr>
        <w:tc>
          <w:tcPr>
            <w:tcW w:w="7830" w:type="dxa"/>
            <w:gridSpan w:val="4"/>
            <w:vAlign w:val="center"/>
          </w:tcPr>
          <w:p w14:paraId="7E47857E">
            <w:pPr>
              <w:widowControl w:val="0"/>
              <w:contextualSpacing/>
              <w:jc w:val="right"/>
              <w:rPr>
                <w:b/>
                <w:bCs/>
              </w:rPr>
            </w:pPr>
            <w:r>
              <w:rPr>
                <w:b/>
                <w:bCs/>
              </w:rPr>
              <w:t>Frais de livraison (y compris les frais d'expédition, les taxes, les frais, les droits de douane, les coûts d'importation / d'exportation, les frais d'installation et de mise en place etc.) :</w:t>
            </w:r>
          </w:p>
        </w:tc>
        <w:tc>
          <w:tcPr>
            <w:tcW w:w="1530" w:type="dxa"/>
            <w:vAlign w:val="center"/>
          </w:tcPr>
          <w:p w14:paraId="7E47857F">
            <w:pPr>
              <w:widowControl w:val="0"/>
              <w:contextualSpacing/>
              <w:jc w:val="right"/>
            </w:pPr>
          </w:p>
        </w:tc>
      </w:tr>
      <w:tr w14:paraId="7E478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trPr>
        <w:tc>
          <w:tcPr>
            <w:tcW w:w="7830" w:type="dxa"/>
            <w:gridSpan w:val="4"/>
            <w:tcBorders>
              <w:bottom w:val="single" w:color="000000" w:themeColor="text1" w:sz="4" w:space="0"/>
            </w:tcBorders>
            <w:vAlign w:val="center"/>
          </w:tcPr>
          <w:p w14:paraId="7E478581">
            <w:pPr>
              <w:widowControl w:val="0"/>
              <w:contextualSpacing/>
              <w:jc w:val="right"/>
              <w:rPr>
                <w:b/>
                <w:bCs/>
              </w:rPr>
            </w:pPr>
            <w:r>
              <w:rPr>
                <w:b/>
                <w:bCs/>
              </w:rPr>
              <w:t>Autres coûts (À décrire : ______________________) :</w:t>
            </w:r>
          </w:p>
        </w:tc>
        <w:tc>
          <w:tcPr>
            <w:tcW w:w="1530" w:type="dxa"/>
            <w:tcBorders>
              <w:bottom w:val="single" w:color="000000" w:themeColor="text1" w:sz="4" w:space="0"/>
            </w:tcBorders>
            <w:vAlign w:val="center"/>
          </w:tcPr>
          <w:p w14:paraId="7E478582">
            <w:pPr>
              <w:widowControl w:val="0"/>
              <w:contextualSpacing/>
              <w:jc w:val="right"/>
            </w:pPr>
          </w:p>
        </w:tc>
      </w:tr>
      <w:tr w14:paraId="7E478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0" w:hRule="atLeast"/>
        </w:trPr>
        <w:tc>
          <w:tcPr>
            <w:tcW w:w="7830" w:type="dxa"/>
            <w:gridSpan w:val="4"/>
            <w:tcBorders>
              <w:top w:val="single" w:color="000000" w:themeColor="text1" w:sz="4" w:space="0"/>
            </w:tcBorders>
            <w:vAlign w:val="center"/>
          </w:tcPr>
          <w:p w14:paraId="7E478584">
            <w:pPr>
              <w:widowControl w:val="0"/>
              <w:contextualSpacing/>
              <w:jc w:val="right"/>
              <w:rPr>
                <w:b/>
                <w:bCs/>
              </w:rPr>
            </w:pPr>
            <w:r>
              <w:rPr>
                <w:b/>
                <w:bCs/>
              </w:rPr>
              <w:t>TOTAL GÉNÉRAL</w:t>
            </w:r>
            <w:r>
              <w:t xml:space="preserve"> </w:t>
            </w:r>
            <w:r>
              <w:rPr>
                <w:b/>
                <w:bCs/>
              </w:rPr>
              <w:t>MRU :</w:t>
            </w:r>
          </w:p>
        </w:tc>
        <w:tc>
          <w:tcPr>
            <w:tcW w:w="1530" w:type="dxa"/>
            <w:tcBorders>
              <w:top w:val="single" w:color="000000" w:themeColor="text1" w:sz="4" w:space="0"/>
            </w:tcBorders>
            <w:vAlign w:val="center"/>
          </w:tcPr>
          <w:p w14:paraId="7E478585">
            <w:pPr>
              <w:widowControl w:val="0"/>
              <w:contextualSpacing/>
              <w:jc w:val="right"/>
              <w:rPr>
                <w:b/>
                <w:bCs/>
              </w:rPr>
            </w:pPr>
          </w:p>
        </w:tc>
      </w:tr>
    </w:tbl>
    <w:p w14:paraId="7E478587">
      <w:pPr>
        <w:contextualSpacing/>
        <w:rPr>
          <w:b/>
          <w:bCs/>
        </w:rPr>
      </w:pPr>
    </w:p>
    <w:p w14:paraId="7E478588">
      <w:pPr>
        <w:contextualSpacing/>
      </w:pPr>
      <w:r>
        <w:t xml:space="preserve">Délai de livraison (après signature du contrat d’achat) : </w:t>
      </w:r>
      <w:r>
        <w:tab/>
      </w:r>
      <w:r>
        <w:tab/>
      </w:r>
      <w:r>
        <w:t xml:space="preserve"> jours calendaires</w:t>
      </w:r>
    </w:p>
    <w:p w14:paraId="7E478589">
      <w:pPr>
        <w:contextualSpacing/>
      </w:pPr>
    </w:p>
    <w:p w14:paraId="7E47858B">
      <w:pPr>
        <w:contextualSpacing/>
        <w:rPr>
          <w:b/>
          <w:bCs/>
        </w:rPr>
      </w:pPr>
      <w:r>
        <w:rPr>
          <w:b/>
          <w:bCs/>
          <w:u w:val="single"/>
        </w:rPr>
        <w:t xml:space="preserve">Section 3 : </w:t>
      </w:r>
      <w:r>
        <w:rPr>
          <w:b/>
          <w:bCs/>
          <w:color w:val="212121"/>
          <w:highlight w:val="white"/>
          <w:u w:val="single"/>
        </w:rPr>
        <w:t>Lettre d'accompagnement d'offre</w:t>
      </w:r>
    </w:p>
    <w:p w14:paraId="7E47858C">
      <w:pPr>
        <w:contextualSpacing/>
        <w:jc w:val="both"/>
        <w:rPr>
          <w:color w:val="212121"/>
          <w:highlight w:val="white"/>
        </w:rPr>
      </w:pPr>
      <w:r>
        <w:br w:type="textWrapping"/>
      </w:r>
      <w:r>
        <w:rPr>
          <w:color w:val="212121"/>
          <w:highlight w:val="white"/>
        </w:rPr>
        <w:t>La lettre d'accompagnement suivante devra être copiée sur du papier à en-tête et remplie / signée / estampillée par un représentant autorisé à signer au nom du soumissionnaire :</w:t>
      </w:r>
    </w:p>
    <w:p w14:paraId="7E47858E">
      <w:pPr>
        <w:contextualSpacing/>
        <w:jc w:val="both"/>
      </w:pPr>
    </w:p>
    <w:p w14:paraId="7E47858F">
      <w:pPr>
        <w:contextualSpacing/>
        <w:jc w:val="both"/>
        <w:rPr>
          <w:b/>
          <w:bCs/>
        </w:rPr>
      </w:pPr>
      <w:bookmarkStart w:id="1" w:name="_gjdgxs"/>
      <w:bookmarkEnd w:id="1"/>
      <w:r>
        <w:t>Adresser á :</w:t>
      </w:r>
      <w:r>
        <w:tab/>
      </w:r>
      <w:r>
        <w:rPr>
          <w:b/>
          <w:bCs/>
        </w:rPr>
        <w:t xml:space="preserve">Counterpart International Mauritanie </w:t>
      </w:r>
    </w:p>
    <w:p w14:paraId="589E54B8">
      <w:pPr>
        <w:ind w:left="720" w:firstLine="720"/>
        <w:contextualSpacing/>
        <w:rPr>
          <w:b/>
          <w:bCs/>
          <w:color w:val="333333"/>
        </w:rPr>
      </w:pPr>
      <w:r>
        <w:t>Lot 254 Tevragzeyna BP3933 Nouakchott Mauritanie</w:t>
      </w:r>
    </w:p>
    <w:p w14:paraId="20BDD365">
      <w:pPr>
        <w:contextualSpacing/>
        <w:rPr>
          <w:b/>
          <w:bCs/>
          <w:color w:val="333333"/>
        </w:rPr>
      </w:pPr>
      <w:r>
        <w:rPr>
          <w:color w:val="212121"/>
        </w:rPr>
        <w:t>Référence</w:t>
      </w:r>
      <w:r>
        <w:rPr>
          <w:color w:val="000000" w:themeColor="text1"/>
          <w14:textFill>
            <w14:solidFill>
              <w14:schemeClr w14:val="tx1"/>
            </w14:solidFill>
          </w14:textFill>
        </w:rPr>
        <w:t xml:space="preserve"> :  </w:t>
      </w:r>
      <w:r>
        <w:rPr>
          <w:color w:val="000000" w:themeColor="text1"/>
          <w14:textFill>
            <w14:solidFill>
              <w14:schemeClr w14:val="tx1"/>
            </w14:solidFill>
          </w14:textFill>
        </w:rPr>
        <w:tab/>
      </w:r>
      <w:r>
        <w:rPr>
          <w:b/>
          <w:bCs/>
        </w:rPr>
        <w:t>Impression de 20,000 Manuels Scolaires et 600 guides d’enseignement</w:t>
      </w:r>
    </w:p>
    <w:p w14:paraId="6AD06E21">
      <w:p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12121"/>
        </w:rPr>
      </w:pPr>
    </w:p>
    <w:p w14:paraId="7E478594">
      <w:p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12121"/>
        </w:rPr>
      </w:pPr>
      <w:r>
        <w:rPr>
          <w:color w:val="212121"/>
        </w:rPr>
        <w:t>À qui de droit :</w:t>
      </w:r>
    </w:p>
    <w:p w14:paraId="7E478595">
      <w:p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12121"/>
        </w:rPr>
      </w:pPr>
    </w:p>
    <w:p w14:paraId="7E478596">
      <w:p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12121"/>
        </w:rPr>
      </w:pPr>
      <w:r>
        <w:rPr>
          <w:color w:val="212121"/>
        </w:rPr>
        <w:t>Nous, soussignés, soumettons par la présente l'offre ci-jointe pour effectuer tous les travaux requis pour compléter les activités et les exigences décrites dans la demande de offres mentionnée ci-dessus. Nous vous prions de recevoir notre offre ci-jointe.</w:t>
      </w:r>
    </w:p>
    <w:p w14:paraId="7E47859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12121"/>
        </w:rPr>
      </w:pPr>
    </w:p>
    <w:p w14:paraId="7E478598">
      <w:p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12121"/>
        </w:rPr>
      </w:pPr>
      <w:r>
        <w:rPr>
          <w:color w:val="212121"/>
        </w:rPr>
        <w:t>Par la présente, nous reconnaissons et acceptons tous les termes, conditions, dispositions spéciales et instructions inclus dans la demande de offres mentionnée ci-dessus. Nous certifions également que l'entreprise ci-dessous - ainsi que les principaux dirigeants de l'entreprise et tous les services offerts en réponse à cette demande d'offre - sont autorisés à participer à cette procédure d’appel d’offre conformément aux conditions de cette invitation et aux réglementations de l’USDA.</w:t>
      </w:r>
    </w:p>
    <w:p w14:paraId="7E478599">
      <w:pPr>
        <w:contextualSpacing/>
        <w:jc w:val="both"/>
        <w:rPr>
          <w:color w:val="212121"/>
          <w:highlight w:val="white"/>
        </w:rPr>
      </w:pPr>
      <w:r>
        <w:br w:type="textWrapping"/>
      </w:r>
      <w:r>
        <w:rPr>
          <w:color w:val="212121"/>
          <w:highlight w:val="white"/>
        </w:rPr>
        <w:t xml:space="preserve">En outre, nous certifions que, au mieux de nos connaissances et croyances : </w:t>
      </w:r>
    </w:p>
    <w:p w14:paraId="7E47859B">
      <w:pPr>
        <w:pStyle w:val="29"/>
        <w:numPr>
          <w:ilvl w:val="0"/>
          <w:numId w:val="21"/>
        </w:numPr>
        <w:spacing w:line="240" w:lineRule="auto"/>
        <w:jc w:val="both"/>
        <w:rPr>
          <w:rFonts w:ascii="Times New Roman" w:hAnsi="Times New Roman" w:eastAsia="Times New Roman" w:cs="Times New Roman"/>
          <w:color w:val="212121"/>
          <w:sz w:val="24"/>
          <w:szCs w:val="24"/>
          <w:highlight w:val="white"/>
          <w:lang w:val="fr-FR"/>
        </w:rPr>
      </w:pPr>
      <w:r>
        <w:rPr>
          <w:rFonts w:ascii="Times New Roman" w:hAnsi="Times New Roman" w:eastAsia="Times New Roman" w:cs="Times New Roman"/>
          <w:color w:val="212121"/>
          <w:sz w:val="24"/>
          <w:szCs w:val="24"/>
          <w:highlight w:val="white"/>
          <w:lang w:val="fr-FR"/>
        </w:rPr>
        <w:t xml:space="preserve">Nous n'avons aucune relation étroite, familiale ou financière avec un membre du personnel   de Counterpart ou du projet McGovern-Dole Food For Education ; </w:t>
      </w:r>
    </w:p>
    <w:p w14:paraId="7E47859C">
      <w:pPr>
        <w:pStyle w:val="29"/>
        <w:numPr>
          <w:ilvl w:val="0"/>
          <w:numId w:val="21"/>
        </w:numPr>
        <w:spacing w:line="240" w:lineRule="auto"/>
        <w:jc w:val="both"/>
        <w:rPr>
          <w:rFonts w:ascii="Times New Roman" w:hAnsi="Times New Roman" w:eastAsia="Times New Roman" w:cs="Times New Roman"/>
          <w:color w:val="212121"/>
          <w:sz w:val="24"/>
          <w:szCs w:val="24"/>
          <w:highlight w:val="white"/>
          <w:lang w:val="fr-FR"/>
        </w:rPr>
      </w:pPr>
      <w:r>
        <w:rPr>
          <w:rFonts w:ascii="Times New Roman" w:hAnsi="Times New Roman" w:eastAsia="Times New Roman" w:cs="Times New Roman"/>
          <w:color w:val="212121"/>
          <w:sz w:val="24"/>
          <w:szCs w:val="24"/>
          <w:highlight w:val="white"/>
          <w:lang w:val="fr-FR"/>
        </w:rPr>
        <w:t xml:space="preserve">Nous n'avons aucune relation étroite, familiale ou financière avec d'autres soumissionnaires qui ont déposé des propositions en réponse à la demande de offres mentionnée ci-dessus ; </w:t>
      </w:r>
    </w:p>
    <w:p w14:paraId="7E47859E">
      <w:pPr>
        <w:pStyle w:val="29"/>
        <w:numPr>
          <w:ilvl w:val="0"/>
          <w:numId w:val="21"/>
        </w:numPr>
        <w:spacing w:line="240" w:lineRule="auto"/>
        <w:jc w:val="both"/>
        <w:rPr>
          <w:rFonts w:ascii="Times New Roman" w:hAnsi="Times New Roman" w:eastAsia="Times New Roman" w:cs="Times New Roman"/>
          <w:color w:val="212121"/>
          <w:sz w:val="24"/>
          <w:szCs w:val="24"/>
          <w:highlight w:val="white"/>
          <w:lang w:val="fr-FR"/>
        </w:rPr>
      </w:pPr>
      <w:r>
        <w:rPr>
          <w:rFonts w:ascii="Times New Roman" w:hAnsi="Times New Roman" w:eastAsia="Times New Roman" w:cs="Times New Roman"/>
          <w:color w:val="212121"/>
          <w:sz w:val="24"/>
          <w:szCs w:val="24"/>
          <w:highlight w:val="white"/>
          <w:lang w:val="fr-FR"/>
        </w:rPr>
        <w:t xml:space="preserve">Les prix de notre offre ont été établis de manière indépendante, sans aucune consultation, communication ou accord avec un autre soumissionnaire ou un concurrent dans le but de restreindre la concurrence. </w:t>
      </w:r>
    </w:p>
    <w:p w14:paraId="7E4785A0">
      <w:pPr>
        <w:pStyle w:val="29"/>
        <w:numPr>
          <w:ilvl w:val="0"/>
          <w:numId w:val="21"/>
        </w:numPr>
        <w:spacing w:line="240" w:lineRule="auto"/>
        <w:jc w:val="both"/>
        <w:rPr>
          <w:rFonts w:ascii="Times New Roman" w:hAnsi="Times New Roman" w:eastAsia="Times New Roman" w:cs="Times New Roman"/>
          <w:color w:val="212121"/>
          <w:sz w:val="24"/>
          <w:szCs w:val="24"/>
          <w:highlight w:val="white"/>
          <w:lang w:val="fr-FR"/>
        </w:rPr>
      </w:pPr>
      <w:r>
        <w:rPr>
          <w:rFonts w:ascii="Times New Roman" w:hAnsi="Times New Roman" w:eastAsia="Times New Roman" w:cs="Times New Roman"/>
          <w:color w:val="212121"/>
          <w:sz w:val="24"/>
          <w:szCs w:val="24"/>
          <w:highlight w:val="white"/>
          <w:lang w:val="fr-FR"/>
        </w:rPr>
        <w:t xml:space="preserve">Toutes les informations contenues dans notre proposition et toutes les pièces justificatives sont authentiques et exactes. </w:t>
      </w:r>
    </w:p>
    <w:p w14:paraId="7E4785A1">
      <w:pPr>
        <w:pStyle w:val="29"/>
        <w:numPr>
          <w:ilvl w:val="0"/>
          <w:numId w:val="21"/>
        </w:numPr>
        <w:spacing w:line="240" w:lineRule="auto"/>
        <w:jc w:val="both"/>
        <w:rPr>
          <w:rFonts w:ascii="Times New Roman" w:hAnsi="Times New Roman" w:eastAsia="Times New Roman" w:cs="Times New Roman"/>
          <w:color w:val="212121"/>
          <w:sz w:val="24"/>
          <w:szCs w:val="24"/>
          <w:highlight w:val="white"/>
          <w:lang w:val="fr-FR"/>
        </w:rPr>
      </w:pPr>
      <w:r>
        <w:rPr>
          <w:rFonts w:ascii="Times New Roman" w:hAnsi="Times New Roman" w:eastAsia="Times New Roman" w:cs="Times New Roman"/>
          <w:color w:val="212121"/>
          <w:sz w:val="24"/>
          <w:szCs w:val="24"/>
          <w:highlight w:val="white"/>
          <w:lang w:val="fr-FR"/>
        </w:rPr>
        <w:t>Nous comprenons et acceptons les interdictions de contrefaçon contre la fraude, les pots-</w:t>
      </w:r>
    </w:p>
    <w:p w14:paraId="7E4785A3">
      <w:pPr>
        <w:pStyle w:val="29"/>
        <w:spacing w:line="240" w:lineRule="auto"/>
        <w:jc w:val="both"/>
        <w:rPr>
          <w:rFonts w:ascii="Times New Roman" w:hAnsi="Times New Roman" w:eastAsia="Times New Roman" w:cs="Times New Roman"/>
          <w:color w:val="212121"/>
          <w:sz w:val="24"/>
          <w:szCs w:val="24"/>
          <w:highlight w:val="white"/>
          <w:lang w:val="fr-FR"/>
        </w:rPr>
      </w:pPr>
      <w:r>
        <w:rPr>
          <w:rFonts w:ascii="Times New Roman" w:hAnsi="Times New Roman" w:eastAsia="Times New Roman" w:cs="Times New Roman"/>
          <w:color w:val="212121"/>
          <w:sz w:val="24"/>
          <w:szCs w:val="24"/>
          <w:highlight w:val="white"/>
          <w:lang w:val="fr-FR"/>
        </w:rPr>
        <w:t>de-vin et la corruption. Nous certifions par la présente que les représentations, certifications et autres déclarations ci-jointes sont exactes, à jour et complètes.</w:t>
      </w:r>
    </w:p>
    <w:p w14:paraId="7E4785A4">
      <w:pPr>
        <w:contextualSpacing/>
        <w:jc w:val="both"/>
      </w:pPr>
    </w:p>
    <w:p w14:paraId="7E4785A5">
      <w:p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u w:val="single"/>
        </w:rPr>
      </w:pPr>
      <w:r>
        <w:rPr>
          <w:color w:val="212121"/>
        </w:rPr>
        <w:t xml:space="preserve">Signature autorisée : </w:t>
      </w:r>
      <w:r>
        <w:tab/>
      </w:r>
      <w:r>
        <w:tab/>
      </w:r>
      <w:r>
        <w:tab/>
      </w:r>
      <w:r>
        <w:tab/>
      </w:r>
      <w:r>
        <w:tab/>
      </w:r>
      <w:r>
        <w:tab/>
      </w:r>
      <w:r>
        <w:tab/>
      </w:r>
      <w:r>
        <w:tab/>
      </w:r>
    </w:p>
    <w:p w14:paraId="7E4785A6">
      <w:pPr>
        <w:ind w:left="360"/>
        <w:contextualSpacing/>
        <w:jc w:val="both"/>
      </w:pPr>
    </w:p>
    <w:p w14:paraId="7E4785A7">
      <w:pPr>
        <w:contextualSpacing/>
        <w:jc w:val="both"/>
      </w:pPr>
      <w:r>
        <w:rPr>
          <w:color w:val="212121"/>
          <w:highlight w:val="white"/>
        </w:rPr>
        <w:t>Nom et titre du signataire</w:t>
      </w:r>
      <w:r>
        <w:t xml:space="preserve"> : </w:t>
      </w:r>
      <w:r>
        <w:tab/>
      </w:r>
      <w:r>
        <w:tab/>
      </w:r>
      <w:r>
        <w:tab/>
      </w:r>
      <w:r>
        <w:tab/>
      </w:r>
      <w:r>
        <w:tab/>
      </w:r>
      <w:r>
        <w:tab/>
      </w:r>
      <w:r>
        <w:tab/>
      </w:r>
      <w:r>
        <w:tab/>
      </w:r>
      <w:r>
        <w:tab/>
      </w:r>
    </w:p>
    <w:p w14:paraId="7E4785A8">
      <w:pPr>
        <w:ind w:left="360"/>
        <w:contextualSpacing/>
        <w:jc w:val="both"/>
      </w:pPr>
    </w:p>
    <w:p w14:paraId="7E4785A9">
      <w:pPr>
        <w:contextualSpacing/>
        <w:jc w:val="both"/>
        <w:rPr>
          <w:u w:val="single"/>
        </w:rPr>
      </w:pPr>
      <w:r>
        <w:t xml:space="preserve">Date : </w:t>
      </w:r>
      <w:r>
        <w:tab/>
      </w:r>
      <w:r>
        <w:tab/>
      </w:r>
      <w:r>
        <w:tab/>
      </w:r>
      <w:r>
        <w:tab/>
      </w:r>
      <w:r>
        <w:tab/>
      </w:r>
      <w:r>
        <w:tab/>
      </w:r>
      <w:r>
        <w:tab/>
      </w:r>
      <w:r>
        <w:tab/>
      </w:r>
      <w:r>
        <w:tab/>
      </w:r>
      <w:r>
        <w:tab/>
      </w:r>
      <w:r>
        <w:tab/>
      </w:r>
      <w:r>
        <w:tab/>
      </w:r>
    </w:p>
    <w:p w14:paraId="7E4785AA">
      <w:pPr>
        <w:ind w:left="360"/>
        <w:contextualSpacing/>
        <w:jc w:val="both"/>
      </w:pPr>
    </w:p>
    <w:p w14:paraId="7E4785AB">
      <w:pPr>
        <w:contextualSpacing/>
        <w:jc w:val="both"/>
        <w:rPr>
          <w:u w:val="single"/>
        </w:rPr>
      </w:pPr>
      <w:r>
        <w:t xml:space="preserve">Nom de l’entreprise : </w:t>
      </w:r>
      <w:r>
        <w:tab/>
      </w:r>
      <w:r>
        <w:tab/>
      </w:r>
      <w:r>
        <w:tab/>
      </w:r>
      <w:r>
        <w:tab/>
      </w:r>
      <w:r>
        <w:tab/>
      </w:r>
      <w:r>
        <w:tab/>
      </w:r>
      <w:r>
        <w:tab/>
      </w:r>
      <w:r>
        <w:tab/>
      </w:r>
      <w:r>
        <w:tab/>
      </w:r>
      <w:r>
        <w:tab/>
      </w:r>
    </w:p>
    <w:p w14:paraId="7E4785AC">
      <w:pPr>
        <w:ind w:left="360"/>
        <w:contextualSpacing/>
        <w:jc w:val="both"/>
      </w:pPr>
    </w:p>
    <w:p w14:paraId="7E4785AD">
      <w:pPr>
        <w:contextualSpacing/>
        <w:jc w:val="both"/>
        <w:rPr>
          <w:u w:val="single"/>
        </w:rPr>
      </w:pPr>
      <w:r>
        <w:t xml:space="preserve">Adresse de l’entreprise : </w:t>
      </w:r>
      <w:r>
        <w:tab/>
      </w:r>
      <w:r>
        <w:tab/>
      </w:r>
      <w:r>
        <w:tab/>
      </w:r>
      <w:r>
        <w:tab/>
      </w:r>
      <w:r>
        <w:tab/>
      </w:r>
      <w:r>
        <w:tab/>
      </w:r>
      <w:r>
        <w:tab/>
      </w:r>
      <w:r>
        <w:tab/>
      </w:r>
      <w:r>
        <w:tab/>
      </w:r>
    </w:p>
    <w:p w14:paraId="7E4785AE">
      <w:pPr>
        <w:ind w:left="360"/>
        <w:contextualSpacing/>
        <w:jc w:val="both"/>
      </w:pPr>
    </w:p>
    <w:p w14:paraId="7E4785AF">
      <w:pPr>
        <w:contextualSpacing/>
        <w:jc w:val="both"/>
        <w:rPr>
          <w:u w:val="single"/>
        </w:rPr>
      </w:pPr>
      <w:r>
        <w:rPr>
          <w:color w:val="212121"/>
          <w:highlight w:val="white"/>
        </w:rPr>
        <w:t>Téléphone de l'entreprise et site Web :</w:t>
      </w:r>
      <w:r>
        <w:tab/>
      </w:r>
      <w:r>
        <w:tab/>
      </w:r>
      <w:r>
        <w:tab/>
      </w:r>
      <w:r>
        <w:tab/>
      </w:r>
      <w:r>
        <w:tab/>
      </w:r>
      <w:r>
        <w:tab/>
      </w:r>
      <w:r>
        <w:tab/>
      </w:r>
      <w:r>
        <w:tab/>
      </w:r>
    </w:p>
    <w:p w14:paraId="7E4785B0">
      <w:pPr>
        <w:ind w:left="360"/>
        <w:contextualSpacing/>
        <w:jc w:val="both"/>
      </w:pPr>
    </w:p>
    <w:p w14:paraId="7E4785B2">
      <w:pPr>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u w:val="single"/>
        </w:rPr>
      </w:pPr>
      <w:r>
        <w:rPr>
          <w:color w:val="212121"/>
        </w:rPr>
        <w:t>Enregistrement de la société ou numéro d'identification du contribuable</w:t>
      </w:r>
      <w:r>
        <w:rPr>
          <w:color w:val="000000" w:themeColor="text1"/>
          <w14:textFill>
            <w14:solidFill>
              <w14:schemeClr w14:val="tx1"/>
            </w14:solidFill>
          </w14:textFill>
        </w:rPr>
        <w:t xml:space="preserve"> : </w:t>
      </w:r>
      <w:r>
        <w:tab/>
      </w:r>
      <w:r>
        <w:tab/>
      </w:r>
      <w:r>
        <w:tab/>
      </w:r>
      <w:r>
        <w:tab/>
      </w:r>
      <w:r>
        <w:tab/>
      </w:r>
      <w:r>
        <w:tab/>
      </w:r>
      <w:r>
        <w:tab/>
      </w:r>
    </w:p>
    <w:p w14:paraId="7E4785B3">
      <w:pPr>
        <w:contextualSpacing/>
        <w:jc w:val="both"/>
        <w:rPr>
          <w:u w:val="single"/>
        </w:rPr>
      </w:pPr>
      <w:r>
        <w:rPr>
          <w:color w:val="212121"/>
          <w:highlight w:val="white"/>
        </w:rPr>
        <w:t>L'entreprise possède-t-elle un compte bancaire actif (Oui / Non) ?</w:t>
      </w:r>
      <w:r>
        <w:tab/>
      </w:r>
      <w:r>
        <w:tab/>
      </w:r>
      <w:r>
        <w:tab/>
      </w:r>
      <w:r>
        <w:tab/>
      </w:r>
    </w:p>
    <w:p w14:paraId="7E4785B4">
      <w:pPr>
        <w:ind w:left="360"/>
        <w:contextualSpacing/>
        <w:jc w:val="both"/>
      </w:pPr>
    </w:p>
    <w:p w14:paraId="7E4785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Pr>
          <w:color w:val="212121"/>
        </w:rPr>
        <w:t xml:space="preserve">Nom officiel associé au compte bancaire (pour paiement) : </w:t>
      </w:r>
      <w:r>
        <w:tab/>
      </w:r>
      <w:r>
        <w:tab/>
      </w:r>
      <w:r>
        <w:tab/>
      </w:r>
      <w:r>
        <w:tab/>
      </w:r>
    </w:p>
    <w:p w14:paraId="3EDE025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7E4785B9">
      <w:pPr>
        <w:numPr>
          <w:ilvl w:val="0"/>
          <w:numId w:val="22"/>
        </w:numPr>
        <w:pBdr>
          <w:top w:val="none" w:color="auto" w:sz="0" w:space="0"/>
          <w:left w:val="none" w:color="auto" w:sz="0" w:space="0"/>
          <w:bottom w:val="none" w:color="auto" w:sz="0" w:space="0"/>
          <w:right w:val="none" w:color="auto" w:sz="0" w:space="0"/>
          <w:between w:val="none" w:color="auto" w:sz="0" w:space="0"/>
        </w:pBdr>
        <w:contextualSpacing/>
        <w:jc w:val="both"/>
        <w:rPr>
          <w:b/>
          <w:bCs/>
          <w:color w:val="000000"/>
        </w:rPr>
      </w:pPr>
      <w:r>
        <w:rPr>
          <w:b/>
          <w:bCs/>
          <w:color w:val="000000" w:themeColor="text1"/>
          <w14:textFill>
            <w14:solidFill>
              <w14:schemeClr w14:val="tx1"/>
            </w14:solidFill>
          </w14:textFill>
        </w:rPr>
        <w:t>NATURE DU CONTRAT</w:t>
      </w:r>
    </w:p>
    <w:p w14:paraId="7E4785BA">
      <w:pPr>
        <w:contextualSpacing/>
      </w:pPr>
    </w:p>
    <w:p w14:paraId="39B95BAB">
      <w:pPr>
        <w:contextualSpacing/>
      </w:pPr>
      <w:r>
        <w:t xml:space="preserve">Un contrat à Prix Fixe en conformité avec l’offre retenue sera signé entre Counterpart et le soumissionnaire retenu. Le contrat pourra être renouvelé à la fin de la période contractuelle. </w:t>
      </w:r>
    </w:p>
    <w:p w14:paraId="16FE7302">
      <w:pPr>
        <w:contextualSpacing/>
      </w:pPr>
    </w:p>
    <w:p w14:paraId="7E4785C0">
      <w:pPr>
        <w:contextualSpacing/>
      </w:pPr>
      <w:r>
        <w:t>Tous les paiements seront effectués en MRU, par chèque ou par virement à l’ordre du fournisseur.</w:t>
      </w:r>
    </w:p>
    <w:p w14:paraId="7E4785C1">
      <w:pPr>
        <w:ind w:left="-360"/>
        <w:contextualSpacing/>
        <w:jc w:val="both"/>
      </w:pPr>
    </w:p>
    <w:p w14:paraId="7E4785C2">
      <w:pPr>
        <w:numPr>
          <w:ilvl w:val="0"/>
          <w:numId w:val="22"/>
        </w:numPr>
        <w:pBdr>
          <w:top w:val="none" w:color="auto" w:sz="0" w:space="0"/>
          <w:left w:val="none" w:color="auto" w:sz="0" w:space="0"/>
          <w:bottom w:val="none" w:color="auto" w:sz="0" w:space="0"/>
          <w:right w:val="none" w:color="auto" w:sz="0" w:space="0"/>
          <w:between w:val="none" w:color="auto" w:sz="0" w:space="0"/>
        </w:pBdr>
        <w:contextualSpacing/>
        <w:jc w:val="both"/>
        <w:rPr>
          <w:b/>
          <w:bCs/>
          <w:color w:val="000000"/>
        </w:rPr>
      </w:pPr>
      <w:bookmarkStart w:id="2" w:name="_30j0zll"/>
      <w:bookmarkEnd w:id="2"/>
      <w:r>
        <w:rPr>
          <w:b/>
          <w:bCs/>
        </w:rPr>
        <w:t>RÉSERVES</w:t>
      </w:r>
    </w:p>
    <w:p w14:paraId="7E4785C3">
      <w:pPr>
        <w:contextualSpacing/>
      </w:pPr>
    </w:p>
    <w:p w14:paraId="7E4785C5">
      <w:pPr>
        <w:ind w:left="-360"/>
        <w:contextualSpacing/>
        <w:jc w:val="both"/>
      </w:pPr>
      <w:r>
        <w:t>L’Administration de Counterpart se réserve le droit de ne donner aucune suite à tout ou partie du présent Appel d’offres.</w:t>
      </w:r>
    </w:p>
    <w:sectPr>
      <w:footerReference r:id="rId5" w:type="first"/>
      <w:footerReference r:id="rId3" w:type="default"/>
      <w:footerReference r:id="rId4" w:type="even"/>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785CE">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jc w:val="center"/>
      <w:rPr>
        <w:rFonts w:ascii="Cambria" w:hAnsi="Cambria" w:eastAsia="Cambria" w:cs="Cambria"/>
        <w:color w:val="000000"/>
      </w:rPr>
    </w:pPr>
    <w:r>
      <w:rPr>
        <w:rFonts w:ascii="Cambria" w:hAnsi="Cambria" w:eastAsia="Cambria" w:cs="Cambria"/>
        <w:color w:val="000000"/>
      </w:rPr>
      <w:fldChar w:fldCharType="begin"/>
    </w:r>
    <w:r>
      <w:rPr>
        <w:rFonts w:ascii="Cambria" w:hAnsi="Cambria" w:eastAsia="Cambria" w:cs="Cambria"/>
        <w:color w:val="000000"/>
      </w:rPr>
      <w:instrText xml:space="preserve">PAGE</w:instrText>
    </w:r>
    <w:r>
      <w:rPr>
        <w:rFonts w:ascii="Cambria" w:hAnsi="Cambria" w:eastAsia="Cambria" w:cs="Cambria"/>
        <w:color w:val="000000"/>
      </w:rPr>
      <w:fldChar w:fldCharType="separate"/>
    </w:r>
    <w:r>
      <w:rPr>
        <w:rFonts w:ascii="Cambria" w:hAnsi="Cambria" w:eastAsia="Cambria" w:cs="Cambria"/>
        <w:color w:val="000000"/>
      </w:rPr>
      <w:t>1</w:t>
    </w:r>
    <w:r>
      <w:rPr>
        <w:rFonts w:ascii="Cambria" w:hAnsi="Cambria" w:eastAsia="Cambria" w:cs="Cambria"/>
        <w:color w:val="000000"/>
      </w:rPr>
      <w:fldChar w:fldCharType="end"/>
    </w:r>
  </w:p>
  <w:p w14:paraId="7E4785CF">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jc w:val="right"/>
      <w:rPr>
        <w:rFonts w:ascii="Calibri" w:hAnsi="Calibri" w:eastAsia="Calibri" w:cs="Calibri"/>
        <w:color w:val="00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785CD">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rPr>
        <w:color w:val="000000"/>
        <w:sz w:val="16"/>
        <w:szCs w:val="16"/>
      </w:rPr>
    </w:pPr>
    <w:r>
      <w:rPr>
        <w:color w:val="000000"/>
        <w:sz w:val="16"/>
        <w:szCs w:val="16"/>
      </w:rPr>
      <w:t>49592958.1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785D0">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rPr>
        <w:color w:val="000000"/>
        <w:sz w:val="16"/>
        <w:szCs w:val="16"/>
      </w:rPr>
    </w:pPr>
    <w:r>
      <w:rPr>
        <w:color w:val="000000"/>
        <w:sz w:val="16"/>
        <w:szCs w:val="16"/>
      </w:rPr>
      <w:t>49592958.1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37676"/>
    <w:multiLevelType w:val="multilevel"/>
    <w:tmpl w:val="00B37676"/>
    <w:lvl w:ilvl="0" w:tentative="0">
      <w:start w:val="7"/>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F27532"/>
    <w:multiLevelType w:val="multilevel"/>
    <w:tmpl w:val="0FF27532"/>
    <w:lvl w:ilvl="0" w:tentative="0">
      <w:start w:val="9"/>
      <w:numFmt w:val="decimal"/>
      <w:lvlText w:val="%1."/>
      <w:lvlJc w:val="left"/>
      <w:pPr>
        <w:ind w:left="360" w:hanging="360"/>
      </w:pPr>
      <w:rPr>
        <w:rFonts w:hint="default"/>
      </w:rPr>
    </w:lvl>
    <w:lvl w:ilvl="1" w:tentative="0">
      <w:start w:val="1"/>
      <w:numFmt w:val="lowerLetter"/>
      <w:lvlText w:val="%2."/>
      <w:lvlJc w:val="left"/>
      <w:pPr>
        <w:ind w:left="720" w:hanging="360"/>
      </w:pPr>
    </w:lvl>
    <w:lvl w:ilvl="2" w:tentative="0">
      <w:start w:val="1"/>
      <w:numFmt w:val="lowerRoman"/>
      <w:lvlText w:val="%3."/>
      <w:lvlJc w:val="right"/>
      <w:pPr>
        <w:ind w:left="1440" w:hanging="180"/>
      </w:pPr>
    </w:lvl>
    <w:lvl w:ilvl="3" w:tentative="0">
      <w:start w:val="1"/>
      <w:numFmt w:val="decimal"/>
      <w:lvlText w:val="%4."/>
      <w:lvlJc w:val="left"/>
      <w:pPr>
        <w:ind w:left="2160" w:hanging="360"/>
      </w:pPr>
    </w:lvl>
    <w:lvl w:ilvl="4" w:tentative="0">
      <w:start w:val="1"/>
      <w:numFmt w:val="lowerLetter"/>
      <w:lvlText w:val="%5."/>
      <w:lvlJc w:val="left"/>
      <w:pPr>
        <w:ind w:left="2880" w:hanging="360"/>
      </w:pPr>
    </w:lvl>
    <w:lvl w:ilvl="5" w:tentative="0">
      <w:start w:val="1"/>
      <w:numFmt w:val="lowerRoman"/>
      <w:lvlText w:val="%6."/>
      <w:lvlJc w:val="right"/>
      <w:pPr>
        <w:ind w:left="3600" w:hanging="180"/>
      </w:pPr>
    </w:lvl>
    <w:lvl w:ilvl="6" w:tentative="0">
      <w:start w:val="1"/>
      <w:numFmt w:val="decimal"/>
      <w:lvlText w:val="%7."/>
      <w:lvlJc w:val="left"/>
      <w:pPr>
        <w:ind w:left="4320" w:hanging="360"/>
      </w:pPr>
    </w:lvl>
    <w:lvl w:ilvl="7" w:tentative="0">
      <w:start w:val="1"/>
      <w:numFmt w:val="lowerLetter"/>
      <w:lvlText w:val="%8."/>
      <w:lvlJc w:val="left"/>
      <w:pPr>
        <w:ind w:left="5040" w:hanging="360"/>
      </w:pPr>
    </w:lvl>
    <w:lvl w:ilvl="8" w:tentative="0">
      <w:start w:val="1"/>
      <w:numFmt w:val="lowerRoman"/>
      <w:lvlText w:val="%9."/>
      <w:lvlJc w:val="right"/>
      <w:pPr>
        <w:ind w:left="5760" w:hanging="180"/>
      </w:pPr>
    </w:lvl>
  </w:abstractNum>
  <w:abstractNum w:abstractNumId="2">
    <w:nsid w:val="1B4F684B"/>
    <w:multiLevelType w:val="multilevel"/>
    <w:tmpl w:val="1B4F684B"/>
    <w:lvl w:ilvl="0" w:tentative="0">
      <w:start w:val="2"/>
      <w:numFmt w:val="decimal"/>
      <w:lvlText w:val="%1."/>
      <w:lvlJc w:val="left"/>
      <w:pPr>
        <w:ind w:left="360" w:hanging="360"/>
      </w:pPr>
      <w:rPr>
        <w:rFonts w:hint="default"/>
      </w:rPr>
    </w:lvl>
    <w:lvl w:ilvl="1" w:tentative="0">
      <w:start w:val="1"/>
      <w:numFmt w:val="bullet"/>
      <w:lvlText w:val="•"/>
      <w:lvlJc w:val="left"/>
      <w:pPr>
        <w:ind w:left="1440" w:hanging="360"/>
      </w:pPr>
      <w:rPr>
        <w:rFonts w:hint="default" w:ascii="Calibri" w:hAnsi="Calibri" w:eastAsia="Calibri" w:cs="Calibri"/>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3">
    <w:nsid w:val="236A5365"/>
    <w:multiLevelType w:val="multilevel"/>
    <w:tmpl w:val="236A5365"/>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237D0B2B"/>
    <w:multiLevelType w:val="multilevel"/>
    <w:tmpl w:val="237D0B2B"/>
    <w:lvl w:ilvl="0" w:tentative="0">
      <w:start w:val="8"/>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09CB278"/>
    <w:multiLevelType w:val="multilevel"/>
    <w:tmpl w:val="309CB278"/>
    <w:lvl w:ilvl="0" w:tentative="0">
      <w:start w:val="10"/>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17753B1"/>
    <w:multiLevelType w:val="multilevel"/>
    <w:tmpl w:val="317753B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66CDBAA"/>
    <w:multiLevelType w:val="multilevel"/>
    <w:tmpl w:val="366CDBAA"/>
    <w:lvl w:ilvl="0" w:tentative="0">
      <w:start w:val="2"/>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7E03890"/>
    <w:multiLevelType w:val="multilevel"/>
    <w:tmpl w:val="37E03890"/>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CD1584C"/>
    <w:multiLevelType w:val="multilevel"/>
    <w:tmpl w:val="3CD1584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F682A04"/>
    <w:multiLevelType w:val="multilevel"/>
    <w:tmpl w:val="3F682A04"/>
    <w:lvl w:ilvl="0" w:tentative="0">
      <w:start w:val="1"/>
      <w:numFmt w:val="decimal"/>
      <w:lvlText w:val="%1."/>
      <w:lvlJc w:val="left"/>
      <w:pPr>
        <w:ind w:left="810" w:hanging="360"/>
      </w:pPr>
      <w:rPr>
        <w:rFonts w:hint="default"/>
      </w:rPr>
    </w:lvl>
    <w:lvl w:ilvl="1" w:tentative="0">
      <w:start w:val="1"/>
      <w:numFmt w:val="lowerLetter"/>
      <w:lvlText w:val="%2."/>
      <w:lvlJc w:val="left"/>
      <w:pPr>
        <w:ind w:left="1440" w:hanging="360"/>
      </w:pPr>
    </w:lvl>
    <w:lvl w:ilvl="2" w:tentative="0">
      <w:start w:val="10"/>
      <w:numFmt w:val="bullet"/>
      <w:lvlText w:val="-"/>
      <w:lvlJc w:val="left"/>
      <w:pPr>
        <w:ind w:left="2340" w:hanging="360"/>
      </w:pPr>
      <w:rPr>
        <w:rFonts w:hint="default" w:ascii="Calibri" w:hAnsi="Calibri" w:eastAsia="Times New Roman" w:cs="Calibri"/>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5FBA925"/>
    <w:multiLevelType w:val="multilevel"/>
    <w:tmpl w:val="45FBA92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A772B34"/>
    <w:multiLevelType w:val="multilevel"/>
    <w:tmpl w:val="4A772B34"/>
    <w:lvl w:ilvl="0" w:tentative="0">
      <w:start w:val="5"/>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B7F13C3"/>
    <w:multiLevelType w:val="multilevel"/>
    <w:tmpl w:val="4B7F13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FE83F78"/>
    <w:multiLevelType w:val="multilevel"/>
    <w:tmpl w:val="4FE83F78"/>
    <w:lvl w:ilvl="0" w:tentative="0">
      <w:start w:val="6"/>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59C42E53"/>
    <w:multiLevelType w:val="multilevel"/>
    <w:tmpl w:val="59C42E53"/>
    <w:lvl w:ilvl="0" w:tentative="0">
      <w:start w:val="3"/>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0060C6B"/>
    <w:multiLevelType w:val="multilevel"/>
    <w:tmpl w:val="60060C6B"/>
    <w:lvl w:ilvl="0" w:tentative="0">
      <w:start w:val="7"/>
      <w:numFmt w:val="decimal"/>
      <w:lvlText w:val="%1."/>
      <w:lvlJc w:val="left"/>
      <w:pPr>
        <w:ind w:left="360" w:hanging="360"/>
      </w:pPr>
      <w:rPr>
        <w:rFonts w:hint="default"/>
      </w:rPr>
    </w:lvl>
    <w:lvl w:ilvl="1" w:tentative="0">
      <w:start w:val="1"/>
      <w:numFmt w:val="bullet"/>
      <w:lvlText w:val="•"/>
      <w:lvlJc w:val="left"/>
      <w:pPr>
        <w:ind w:left="1440" w:hanging="360"/>
      </w:pPr>
      <w:rPr>
        <w:rFonts w:hint="default" w:ascii="Calibri" w:hAnsi="Calibri" w:eastAsia="Calibri" w:cs="Calibri"/>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7">
    <w:nsid w:val="617F9BBC"/>
    <w:multiLevelType w:val="multilevel"/>
    <w:tmpl w:val="617F9BBC"/>
    <w:lvl w:ilvl="0" w:tentative="0">
      <w:start w:val="6"/>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92E9FB7"/>
    <w:multiLevelType w:val="multilevel"/>
    <w:tmpl w:val="692E9FB7"/>
    <w:lvl w:ilvl="0" w:tentative="0">
      <w:start w:val="4"/>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328E1F3"/>
    <w:multiLevelType w:val="multilevel"/>
    <w:tmpl w:val="7328E1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0">
    <w:nsid w:val="7DE1B617"/>
    <w:multiLevelType w:val="multilevel"/>
    <w:tmpl w:val="7DE1B617"/>
    <w:lvl w:ilvl="0" w:tentative="0">
      <w:start w:val="9"/>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EEE53C7"/>
    <w:multiLevelType w:val="multilevel"/>
    <w:tmpl w:val="7EEE53C7"/>
    <w:lvl w:ilvl="0" w:tentative="0">
      <w:start w:val="11"/>
      <w:numFmt w:val="decimal"/>
      <w:lvlText w:val="%1."/>
      <w:lvlJc w:val="left"/>
      <w:pPr>
        <w:ind w:left="360" w:hanging="360"/>
      </w:pPr>
      <w:rPr>
        <w:rFonts w:hint="default"/>
      </w:rPr>
    </w:lvl>
    <w:lvl w:ilvl="1" w:tentative="0">
      <w:start w:val="1"/>
      <w:numFmt w:val="bullet"/>
      <w:lvlText w:val="•"/>
      <w:lvlJc w:val="left"/>
      <w:pPr>
        <w:ind w:left="1440" w:hanging="360"/>
      </w:pPr>
      <w:rPr>
        <w:rFonts w:hint="default" w:ascii="Calibri" w:hAnsi="Calibri" w:eastAsia="Calibri" w:cs="Calibri"/>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num w:numId="1">
    <w:abstractNumId w:val="13"/>
  </w:num>
  <w:num w:numId="2">
    <w:abstractNumId w:val="2"/>
  </w:num>
  <w:num w:numId="3">
    <w:abstractNumId w:val="9"/>
  </w:num>
  <w:num w:numId="4">
    <w:abstractNumId w:val="10"/>
  </w:num>
  <w:num w:numId="5">
    <w:abstractNumId w:val="11"/>
  </w:num>
  <w:num w:numId="6">
    <w:abstractNumId w:val="7"/>
  </w:num>
  <w:num w:numId="7">
    <w:abstractNumId w:val="15"/>
  </w:num>
  <w:num w:numId="8">
    <w:abstractNumId w:val="18"/>
  </w:num>
  <w:num w:numId="9">
    <w:abstractNumId w:val="12"/>
  </w:num>
  <w:num w:numId="10">
    <w:abstractNumId w:val="17"/>
  </w:num>
  <w:num w:numId="11">
    <w:abstractNumId w:val="0"/>
  </w:num>
  <w:num w:numId="12">
    <w:abstractNumId w:val="4"/>
  </w:num>
  <w:num w:numId="13">
    <w:abstractNumId w:val="20"/>
  </w:num>
  <w:num w:numId="14">
    <w:abstractNumId w:val="5"/>
  </w:num>
  <w:num w:numId="15">
    <w:abstractNumId w:val="14"/>
  </w:num>
  <w:num w:numId="16">
    <w:abstractNumId w:val="6"/>
  </w:num>
  <w:num w:numId="17">
    <w:abstractNumId w:val="16"/>
  </w:num>
  <w:num w:numId="18">
    <w:abstractNumId w:val="8"/>
  </w:num>
  <w:num w:numId="19">
    <w:abstractNumId w:val="3"/>
  </w:num>
  <w:num w:numId="20">
    <w:abstractNumId w:val="1"/>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11"/>
    <w:rsid w:val="00007483"/>
    <w:rsid w:val="000119C8"/>
    <w:rsid w:val="00013FA4"/>
    <w:rsid w:val="00014D1A"/>
    <w:rsid w:val="00014D1C"/>
    <w:rsid w:val="00017F91"/>
    <w:rsid w:val="0003024B"/>
    <w:rsid w:val="0004036F"/>
    <w:rsid w:val="000432FD"/>
    <w:rsid w:val="00054975"/>
    <w:rsid w:val="00055061"/>
    <w:rsid w:val="00075204"/>
    <w:rsid w:val="00085145"/>
    <w:rsid w:val="000A1E08"/>
    <w:rsid w:val="000B3EFB"/>
    <w:rsid w:val="000D3FF1"/>
    <w:rsid w:val="000D5F37"/>
    <w:rsid w:val="000D60ED"/>
    <w:rsid w:val="000E01FD"/>
    <w:rsid w:val="000E7564"/>
    <w:rsid w:val="000F2872"/>
    <w:rsid w:val="00140B0C"/>
    <w:rsid w:val="00141340"/>
    <w:rsid w:val="001426F7"/>
    <w:rsid w:val="00152B22"/>
    <w:rsid w:val="00157103"/>
    <w:rsid w:val="00167D50"/>
    <w:rsid w:val="00175AD9"/>
    <w:rsid w:val="00191350"/>
    <w:rsid w:val="001B7A4C"/>
    <w:rsid w:val="001C0047"/>
    <w:rsid w:val="001C575E"/>
    <w:rsid w:val="001D0CA5"/>
    <w:rsid w:val="001D69F2"/>
    <w:rsid w:val="001E33EB"/>
    <w:rsid w:val="001F5A50"/>
    <w:rsid w:val="00205BE3"/>
    <w:rsid w:val="002311E3"/>
    <w:rsid w:val="00260706"/>
    <w:rsid w:val="00275F6C"/>
    <w:rsid w:val="00282F46"/>
    <w:rsid w:val="002831B6"/>
    <w:rsid w:val="002903C7"/>
    <w:rsid w:val="00294C96"/>
    <w:rsid w:val="002A0507"/>
    <w:rsid w:val="002A53D8"/>
    <w:rsid w:val="002A55A6"/>
    <w:rsid w:val="002C04DE"/>
    <w:rsid w:val="002C05D8"/>
    <w:rsid w:val="002E2C51"/>
    <w:rsid w:val="002F7712"/>
    <w:rsid w:val="0030514D"/>
    <w:rsid w:val="003054B3"/>
    <w:rsid w:val="0031313B"/>
    <w:rsid w:val="00321056"/>
    <w:rsid w:val="003312EE"/>
    <w:rsid w:val="00354D47"/>
    <w:rsid w:val="00362F5E"/>
    <w:rsid w:val="003875E0"/>
    <w:rsid w:val="00395767"/>
    <w:rsid w:val="003ABC9A"/>
    <w:rsid w:val="003C275F"/>
    <w:rsid w:val="003C57E0"/>
    <w:rsid w:val="003D0179"/>
    <w:rsid w:val="003E607C"/>
    <w:rsid w:val="0041526B"/>
    <w:rsid w:val="004337FA"/>
    <w:rsid w:val="004402BA"/>
    <w:rsid w:val="00444398"/>
    <w:rsid w:val="004545E1"/>
    <w:rsid w:val="00460D7B"/>
    <w:rsid w:val="00471595"/>
    <w:rsid w:val="0049192C"/>
    <w:rsid w:val="00495659"/>
    <w:rsid w:val="004A0BDF"/>
    <w:rsid w:val="004A72B7"/>
    <w:rsid w:val="004C1FAA"/>
    <w:rsid w:val="004C3F68"/>
    <w:rsid w:val="004E1F56"/>
    <w:rsid w:val="004E4725"/>
    <w:rsid w:val="004F5C68"/>
    <w:rsid w:val="0051293E"/>
    <w:rsid w:val="0051F9D2"/>
    <w:rsid w:val="00523486"/>
    <w:rsid w:val="00524711"/>
    <w:rsid w:val="00524F8F"/>
    <w:rsid w:val="00525044"/>
    <w:rsid w:val="0053160E"/>
    <w:rsid w:val="00551A30"/>
    <w:rsid w:val="00557F55"/>
    <w:rsid w:val="00570371"/>
    <w:rsid w:val="005743D7"/>
    <w:rsid w:val="0057481E"/>
    <w:rsid w:val="005A4EAC"/>
    <w:rsid w:val="005A6565"/>
    <w:rsid w:val="005C57F5"/>
    <w:rsid w:val="005C610C"/>
    <w:rsid w:val="005D2B39"/>
    <w:rsid w:val="0060218C"/>
    <w:rsid w:val="00602A74"/>
    <w:rsid w:val="006170A0"/>
    <w:rsid w:val="00670D97"/>
    <w:rsid w:val="00674C4B"/>
    <w:rsid w:val="006B0A7D"/>
    <w:rsid w:val="006D4329"/>
    <w:rsid w:val="006D5122"/>
    <w:rsid w:val="006F6EB6"/>
    <w:rsid w:val="007018FF"/>
    <w:rsid w:val="0070507A"/>
    <w:rsid w:val="00711920"/>
    <w:rsid w:val="00715731"/>
    <w:rsid w:val="00736886"/>
    <w:rsid w:val="00751597"/>
    <w:rsid w:val="0077159B"/>
    <w:rsid w:val="00793AFB"/>
    <w:rsid w:val="00796AFA"/>
    <w:rsid w:val="007B18DE"/>
    <w:rsid w:val="007E76F8"/>
    <w:rsid w:val="00800C67"/>
    <w:rsid w:val="00833B15"/>
    <w:rsid w:val="00851FA8"/>
    <w:rsid w:val="00852252"/>
    <w:rsid w:val="008825D9"/>
    <w:rsid w:val="00885A0E"/>
    <w:rsid w:val="0089049E"/>
    <w:rsid w:val="008B0134"/>
    <w:rsid w:val="008B6806"/>
    <w:rsid w:val="008C1410"/>
    <w:rsid w:val="008C42EE"/>
    <w:rsid w:val="008D352A"/>
    <w:rsid w:val="008D4FFB"/>
    <w:rsid w:val="008F5E62"/>
    <w:rsid w:val="009060C8"/>
    <w:rsid w:val="00930C78"/>
    <w:rsid w:val="00941F5B"/>
    <w:rsid w:val="00942CE1"/>
    <w:rsid w:val="00954C94"/>
    <w:rsid w:val="00957BEC"/>
    <w:rsid w:val="009651FD"/>
    <w:rsid w:val="00973345"/>
    <w:rsid w:val="00980F00"/>
    <w:rsid w:val="009906FC"/>
    <w:rsid w:val="009A5976"/>
    <w:rsid w:val="009C03FE"/>
    <w:rsid w:val="00A01604"/>
    <w:rsid w:val="00A04E2D"/>
    <w:rsid w:val="00A205FE"/>
    <w:rsid w:val="00A25A6C"/>
    <w:rsid w:val="00A46A4C"/>
    <w:rsid w:val="00A55254"/>
    <w:rsid w:val="00A676F6"/>
    <w:rsid w:val="00A75AA5"/>
    <w:rsid w:val="00A83D1B"/>
    <w:rsid w:val="00A91940"/>
    <w:rsid w:val="00A91FC4"/>
    <w:rsid w:val="00AA1596"/>
    <w:rsid w:val="00AA6F0D"/>
    <w:rsid w:val="00AB3E2A"/>
    <w:rsid w:val="00AC3D10"/>
    <w:rsid w:val="00AD1E16"/>
    <w:rsid w:val="00B12891"/>
    <w:rsid w:val="00B12A87"/>
    <w:rsid w:val="00B2467F"/>
    <w:rsid w:val="00B41C3D"/>
    <w:rsid w:val="00B6280A"/>
    <w:rsid w:val="00B6340E"/>
    <w:rsid w:val="00B64C27"/>
    <w:rsid w:val="00B666EC"/>
    <w:rsid w:val="00B733A4"/>
    <w:rsid w:val="00B74980"/>
    <w:rsid w:val="00B75B46"/>
    <w:rsid w:val="00B82E23"/>
    <w:rsid w:val="00B86374"/>
    <w:rsid w:val="00B94369"/>
    <w:rsid w:val="00B95AD6"/>
    <w:rsid w:val="00BA1E90"/>
    <w:rsid w:val="00BA2727"/>
    <w:rsid w:val="00BB1232"/>
    <w:rsid w:val="00BB55CD"/>
    <w:rsid w:val="00BC6F62"/>
    <w:rsid w:val="00BD0C29"/>
    <w:rsid w:val="00BD2D72"/>
    <w:rsid w:val="00BD92F2"/>
    <w:rsid w:val="00C01A46"/>
    <w:rsid w:val="00C0413A"/>
    <w:rsid w:val="00C2226C"/>
    <w:rsid w:val="00C46A23"/>
    <w:rsid w:val="00C5093A"/>
    <w:rsid w:val="00C54ECC"/>
    <w:rsid w:val="00C5668D"/>
    <w:rsid w:val="00C64BDD"/>
    <w:rsid w:val="00C70427"/>
    <w:rsid w:val="00C72071"/>
    <w:rsid w:val="00C9451D"/>
    <w:rsid w:val="00CA4BCD"/>
    <w:rsid w:val="00CC400C"/>
    <w:rsid w:val="00CE1507"/>
    <w:rsid w:val="00D00B9F"/>
    <w:rsid w:val="00D1502B"/>
    <w:rsid w:val="00D21F37"/>
    <w:rsid w:val="00D2649B"/>
    <w:rsid w:val="00D40AE5"/>
    <w:rsid w:val="00D61315"/>
    <w:rsid w:val="00D71B33"/>
    <w:rsid w:val="00D91F0B"/>
    <w:rsid w:val="00DA1777"/>
    <w:rsid w:val="00DA3CFD"/>
    <w:rsid w:val="00DC07D9"/>
    <w:rsid w:val="00DC1782"/>
    <w:rsid w:val="00DC57AF"/>
    <w:rsid w:val="00DD1DB1"/>
    <w:rsid w:val="00DD2DA5"/>
    <w:rsid w:val="00E01747"/>
    <w:rsid w:val="00E07E13"/>
    <w:rsid w:val="00E116E7"/>
    <w:rsid w:val="00E12388"/>
    <w:rsid w:val="00E13BC2"/>
    <w:rsid w:val="00E14131"/>
    <w:rsid w:val="00E14EB0"/>
    <w:rsid w:val="00E20C3F"/>
    <w:rsid w:val="00E26D43"/>
    <w:rsid w:val="00E3041B"/>
    <w:rsid w:val="00E31850"/>
    <w:rsid w:val="00E3306F"/>
    <w:rsid w:val="00E56536"/>
    <w:rsid w:val="00E76FBB"/>
    <w:rsid w:val="00E87565"/>
    <w:rsid w:val="00E91959"/>
    <w:rsid w:val="00E944A1"/>
    <w:rsid w:val="00EA08DF"/>
    <w:rsid w:val="00EA5A6C"/>
    <w:rsid w:val="00EE04C2"/>
    <w:rsid w:val="00EE3D1F"/>
    <w:rsid w:val="00EE7397"/>
    <w:rsid w:val="00EF1A26"/>
    <w:rsid w:val="00F0575F"/>
    <w:rsid w:val="00F07F2D"/>
    <w:rsid w:val="00F20523"/>
    <w:rsid w:val="00F2727B"/>
    <w:rsid w:val="00F2732F"/>
    <w:rsid w:val="00F400B4"/>
    <w:rsid w:val="00F5328E"/>
    <w:rsid w:val="00F672D3"/>
    <w:rsid w:val="00F75B8E"/>
    <w:rsid w:val="00F7639B"/>
    <w:rsid w:val="00F81131"/>
    <w:rsid w:val="00F86A56"/>
    <w:rsid w:val="00F93566"/>
    <w:rsid w:val="00F956B4"/>
    <w:rsid w:val="00FA030E"/>
    <w:rsid w:val="00FA0B19"/>
    <w:rsid w:val="00FA79C6"/>
    <w:rsid w:val="00FB1EB4"/>
    <w:rsid w:val="00FB3730"/>
    <w:rsid w:val="00FB539D"/>
    <w:rsid w:val="00FB6D22"/>
    <w:rsid w:val="00FE3225"/>
    <w:rsid w:val="00FE46DD"/>
    <w:rsid w:val="00FE7E5E"/>
    <w:rsid w:val="00FF1EB4"/>
    <w:rsid w:val="014650B4"/>
    <w:rsid w:val="01F93408"/>
    <w:rsid w:val="029F713C"/>
    <w:rsid w:val="02DAA18A"/>
    <w:rsid w:val="02FDF718"/>
    <w:rsid w:val="030D87E8"/>
    <w:rsid w:val="036F8FD3"/>
    <w:rsid w:val="038014B8"/>
    <w:rsid w:val="03C1B5D1"/>
    <w:rsid w:val="0429C929"/>
    <w:rsid w:val="04B36832"/>
    <w:rsid w:val="04BCACB6"/>
    <w:rsid w:val="04E47511"/>
    <w:rsid w:val="05239C9E"/>
    <w:rsid w:val="0665FEB8"/>
    <w:rsid w:val="06C50D36"/>
    <w:rsid w:val="06D7D7AE"/>
    <w:rsid w:val="06EAAC42"/>
    <w:rsid w:val="06F86D0B"/>
    <w:rsid w:val="07310174"/>
    <w:rsid w:val="077D8186"/>
    <w:rsid w:val="077E2E5F"/>
    <w:rsid w:val="07DAC900"/>
    <w:rsid w:val="0833A299"/>
    <w:rsid w:val="0845DD9F"/>
    <w:rsid w:val="087DDE2E"/>
    <w:rsid w:val="08E70DB8"/>
    <w:rsid w:val="0A143910"/>
    <w:rsid w:val="0A2C84E6"/>
    <w:rsid w:val="0A47F534"/>
    <w:rsid w:val="0A65E113"/>
    <w:rsid w:val="0AAD36AF"/>
    <w:rsid w:val="0ACBF61F"/>
    <w:rsid w:val="0AD72C3A"/>
    <w:rsid w:val="0B23450C"/>
    <w:rsid w:val="0B3D2D02"/>
    <w:rsid w:val="0BB2E103"/>
    <w:rsid w:val="0BD37744"/>
    <w:rsid w:val="0CA6DBC9"/>
    <w:rsid w:val="0CED2530"/>
    <w:rsid w:val="0D896A2E"/>
    <w:rsid w:val="0D94C114"/>
    <w:rsid w:val="0EAADC33"/>
    <w:rsid w:val="0ECB7A76"/>
    <w:rsid w:val="0EF779ED"/>
    <w:rsid w:val="0F487FD2"/>
    <w:rsid w:val="0FD26837"/>
    <w:rsid w:val="105365C3"/>
    <w:rsid w:val="11B40422"/>
    <w:rsid w:val="1302ECAB"/>
    <w:rsid w:val="143B7F50"/>
    <w:rsid w:val="156FCEF4"/>
    <w:rsid w:val="16165923"/>
    <w:rsid w:val="16590005"/>
    <w:rsid w:val="166D72EA"/>
    <w:rsid w:val="169A26A7"/>
    <w:rsid w:val="1822C153"/>
    <w:rsid w:val="18249407"/>
    <w:rsid w:val="18A94E42"/>
    <w:rsid w:val="18BFD797"/>
    <w:rsid w:val="18F2AE97"/>
    <w:rsid w:val="19393936"/>
    <w:rsid w:val="1982880D"/>
    <w:rsid w:val="1A4050C0"/>
    <w:rsid w:val="1A4EEF42"/>
    <w:rsid w:val="1AD56C08"/>
    <w:rsid w:val="1B2B226C"/>
    <w:rsid w:val="1CC235CC"/>
    <w:rsid w:val="1CFCEA8C"/>
    <w:rsid w:val="1DD1AAC9"/>
    <w:rsid w:val="1DE030A4"/>
    <w:rsid w:val="1E01E117"/>
    <w:rsid w:val="1E1891F4"/>
    <w:rsid w:val="1E1D0093"/>
    <w:rsid w:val="1E684151"/>
    <w:rsid w:val="1E961C3B"/>
    <w:rsid w:val="1EA8AEB3"/>
    <w:rsid w:val="1F053FE7"/>
    <w:rsid w:val="1F547C66"/>
    <w:rsid w:val="1FE6EE11"/>
    <w:rsid w:val="2018E271"/>
    <w:rsid w:val="2074786D"/>
    <w:rsid w:val="20F7162A"/>
    <w:rsid w:val="2151EBCF"/>
    <w:rsid w:val="21C43027"/>
    <w:rsid w:val="21CFBD8F"/>
    <w:rsid w:val="22219F51"/>
    <w:rsid w:val="229F6BB3"/>
    <w:rsid w:val="22ACF0EB"/>
    <w:rsid w:val="22FBE6DC"/>
    <w:rsid w:val="2322A08B"/>
    <w:rsid w:val="23EEA418"/>
    <w:rsid w:val="2464EA3F"/>
    <w:rsid w:val="251C765A"/>
    <w:rsid w:val="259E6DDF"/>
    <w:rsid w:val="268DCDB8"/>
    <w:rsid w:val="26F82ADB"/>
    <w:rsid w:val="270A84F8"/>
    <w:rsid w:val="271C462E"/>
    <w:rsid w:val="276C92E1"/>
    <w:rsid w:val="2809B875"/>
    <w:rsid w:val="280B20D4"/>
    <w:rsid w:val="283341DB"/>
    <w:rsid w:val="289D13B5"/>
    <w:rsid w:val="28CEF73E"/>
    <w:rsid w:val="2936F677"/>
    <w:rsid w:val="29395D8E"/>
    <w:rsid w:val="29ABB0B1"/>
    <w:rsid w:val="29D9C533"/>
    <w:rsid w:val="29E92B12"/>
    <w:rsid w:val="2B27A823"/>
    <w:rsid w:val="2B4395B9"/>
    <w:rsid w:val="2B59A5F2"/>
    <w:rsid w:val="2B5F2A66"/>
    <w:rsid w:val="2BADB082"/>
    <w:rsid w:val="2BB76E36"/>
    <w:rsid w:val="2BC4C2DC"/>
    <w:rsid w:val="2C1175C3"/>
    <w:rsid w:val="2C1D50BD"/>
    <w:rsid w:val="2CFDC4D4"/>
    <w:rsid w:val="2D659EB4"/>
    <w:rsid w:val="2D7B3508"/>
    <w:rsid w:val="2DDC0692"/>
    <w:rsid w:val="2E0D875F"/>
    <w:rsid w:val="2EAA1E95"/>
    <w:rsid w:val="2EFDC112"/>
    <w:rsid w:val="2F122E37"/>
    <w:rsid w:val="2F88C1FF"/>
    <w:rsid w:val="2F8A150B"/>
    <w:rsid w:val="2FA487C7"/>
    <w:rsid w:val="2FDC4CBA"/>
    <w:rsid w:val="30C435C2"/>
    <w:rsid w:val="31172837"/>
    <w:rsid w:val="3123CA01"/>
    <w:rsid w:val="31711488"/>
    <w:rsid w:val="31B12B3A"/>
    <w:rsid w:val="31C5C858"/>
    <w:rsid w:val="325C2B23"/>
    <w:rsid w:val="32AA2237"/>
    <w:rsid w:val="3309C2E2"/>
    <w:rsid w:val="33FEE8D8"/>
    <w:rsid w:val="3431A86F"/>
    <w:rsid w:val="346763B4"/>
    <w:rsid w:val="352E1BE2"/>
    <w:rsid w:val="35C2E0F6"/>
    <w:rsid w:val="35D4A5AB"/>
    <w:rsid w:val="35D7B752"/>
    <w:rsid w:val="3600E2B3"/>
    <w:rsid w:val="36A1B74E"/>
    <w:rsid w:val="36F677C9"/>
    <w:rsid w:val="37C899EA"/>
    <w:rsid w:val="387A59C3"/>
    <w:rsid w:val="39348788"/>
    <w:rsid w:val="3993A00E"/>
    <w:rsid w:val="3A2A000B"/>
    <w:rsid w:val="3A59D860"/>
    <w:rsid w:val="3A84BA2D"/>
    <w:rsid w:val="3B4651A1"/>
    <w:rsid w:val="3C14185F"/>
    <w:rsid w:val="3C6064F0"/>
    <w:rsid w:val="3C8087F0"/>
    <w:rsid w:val="3C9AE8BC"/>
    <w:rsid w:val="3D3CABAB"/>
    <w:rsid w:val="3D908B4D"/>
    <w:rsid w:val="3DB26B33"/>
    <w:rsid w:val="3DDF968C"/>
    <w:rsid w:val="3DF97660"/>
    <w:rsid w:val="3ED4EB46"/>
    <w:rsid w:val="3FA65630"/>
    <w:rsid w:val="3FA66531"/>
    <w:rsid w:val="3FDDF109"/>
    <w:rsid w:val="4081F912"/>
    <w:rsid w:val="40D9BFA1"/>
    <w:rsid w:val="4138EA54"/>
    <w:rsid w:val="41716A4A"/>
    <w:rsid w:val="41FCFAB1"/>
    <w:rsid w:val="42065E3C"/>
    <w:rsid w:val="42FA18DA"/>
    <w:rsid w:val="43518F0A"/>
    <w:rsid w:val="43665A2E"/>
    <w:rsid w:val="43C128A5"/>
    <w:rsid w:val="447588ED"/>
    <w:rsid w:val="4517FFCF"/>
    <w:rsid w:val="4583A660"/>
    <w:rsid w:val="45A25E3A"/>
    <w:rsid w:val="46592A9A"/>
    <w:rsid w:val="46A9B8FD"/>
    <w:rsid w:val="46CA1769"/>
    <w:rsid w:val="46CB5370"/>
    <w:rsid w:val="46D0AF67"/>
    <w:rsid w:val="47DCB441"/>
    <w:rsid w:val="481BC850"/>
    <w:rsid w:val="48784E5E"/>
    <w:rsid w:val="49251CAC"/>
    <w:rsid w:val="4944222A"/>
    <w:rsid w:val="49546350"/>
    <w:rsid w:val="49E0620F"/>
    <w:rsid w:val="4A4DFBE6"/>
    <w:rsid w:val="4A559B86"/>
    <w:rsid w:val="4A567F00"/>
    <w:rsid w:val="4A729573"/>
    <w:rsid w:val="4AE732E3"/>
    <w:rsid w:val="4B967DED"/>
    <w:rsid w:val="4CBCB68B"/>
    <w:rsid w:val="4DA2C4AF"/>
    <w:rsid w:val="4DF39D48"/>
    <w:rsid w:val="4E5EE09F"/>
    <w:rsid w:val="4E68FE2C"/>
    <w:rsid w:val="4EB6954A"/>
    <w:rsid w:val="4F3313C4"/>
    <w:rsid w:val="4F8183CD"/>
    <w:rsid w:val="4F849C32"/>
    <w:rsid w:val="501A71B3"/>
    <w:rsid w:val="50C437DD"/>
    <w:rsid w:val="51BA72AC"/>
    <w:rsid w:val="5232B331"/>
    <w:rsid w:val="5297B408"/>
    <w:rsid w:val="52A8F20B"/>
    <w:rsid w:val="52BBA6D5"/>
    <w:rsid w:val="532A8547"/>
    <w:rsid w:val="5333D85D"/>
    <w:rsid w:val="5344FD78"/>
    <w:rsid w:val="53DAD675"/>
    <w:rsid w:val="540CF943"/>
    <w:rsid w:val="54743402"/>
    <w:rsid w:val="54DE9E82"/>
    <w:rsid w:val="54FC0E88"/>
    <w:rsid w:val="553D1BB9"/>
    <w:rsid w:val="559E7BF9"/>
    <w:rsid w:val="55A47F74"/>
    <w:rsid w:val="55C9337F"/>
    <w:rsid w:val="560F92B0"/>
    <w:rsid w:val="56781A64"/>
    <w:rsid w:val="567C29D6"/>
    <w:rsid w:val="5697D212"/>
    <w:rsid w:val="56B73C7C"/>
    <w:rsid w:val="57265846"/>
    <w:rsid w:val="58B8A7A8"/>
    <w:rsid w:val="58BBC093"/>
    <w:rsid w:val="58C65660"/>
    <w:rsid w:val="58F723FC"/>
    <w:rsid w:val="5986C31D"/>
    <w:rsid w:val="5A40447B"/>
    <w:rsid w:val="5AFA24A7"/>
    <w:rsid w:val="5B3597E1"/>
    <w:rsid w:val="5BB91D8A"/>
    <w:rsid w:val="5D5A624A"/>
    <w:rsid w:val="5DF7F2C1"/>
    <w:rsid w:val="5E8593A8"/>
    <w:rsid w:val="5EB33245"/>
    <w:rsid w:val="5EF4AF88"/>
    <w:rsid w:val="5F6BEE8D"/>
    <w:rsid w:val="5FCC1C41"/>
    <w:rsid w:val="603FEDC6"/>
    <w:rsid w:val="604011E2"/>
    <w:rsid w:val="614B944F"/>
    <w:rsid w:val="616D0CE7"/>
    <w:rsid w:val="619645DE"/>
    <w:rsid w:val="6233C096"/>
    <w:rsid w:val="62898BEE"/>
    <w:rsid w:val="6350A432"/>
    <w:rsid w:val="63B2DFD3"/>
    <w:rsid w:val="64E3603E"/>
    <w:rsid w:val="651DD490"/>
    <w:rsid w:val="65B94B11"/>
    <w:rsid w:val="65C0432F"/>
    <w:rsid w:val="6652203D"/>
    <w:rsid w:val="665E76CC"/>
    <w:rsid w:val="66E19100"/>
    <w:rsid w:val="67786CE6"/>
    <w:rsid w:val="68779591"/>
    <w:rsid w:val="694C78ED"/>
    <w:rsid w:val="69A4F30E"/>
    <w:rsid w:val="69BA8DAE"/>
    <w:rsid w:val="6A24E30E"/>
    <w:rsid w:val="6A3C886F"/>
    <w:rsid w:val="6A47135E"/>
    <w:rsid w:val="6B1B00DB"/>
    <w:rsid w:val="6C04D13C"/>
    <w:rsid w:val="6C903D5B"/>
    <w:rsid w:val="6CA2E7DE"/>
    <w:rsid w:val="6D65F52F"/>
    <w:rsid w:val="6D9D12EB"/>
    <w:rsid w:val="6DA60789"/>
    <w:rsid w:val="6E2E1B55"/>
    <w:rsid w:val="6E4D9129"/>
    <w:rsid w:val="6E51AD69"/>
    <w:rsid w:val="6E77120C"/>
    <w:rsid w:val="6E7E4464"/>
    <w:rsid w:val="6EF684C5"/>
    <w:rsid w:val="6F6BFEEB"/>
    <w:rsid w:val="703BB746"/>
    <w:rsid w:val="70E15BC7"/>
    <w:rsid w:val="70E44162"/>
    <w:rsid w:val="7131E92E"/>
    <w:rsid w:val="716CAADB"/>
    <w:rsid w:val="71E10A04"/>
    <w:rsid w:val="71E67B09"/>
    <w:rsid w:val="72201E8C"/>
    <w:rsid w:val="72912D37"/>
    <w:rsid w:val="73967E3C"/>
    <w:rsid w:val="75E1EBC2"/>
    <w:rsid w:val="76DAF3E5"/>
    <w:rsid w:val="771C7CB0"/>
    <w:rsid w:val="77527DA3"/>
    <w:rsid w:val="7773091B"/>
    <w:rsid w:val="783355F2"/>
    <w:rsid w:val="784AA21C"/>
    <w:rsid w:val="7860AD30"/>
    <w:rsid w:val="792B6465"/>
    <w:rsid w:val="79B9F3E2"/>
    <w:rsid w:val="7A521183"/>
    <w:rsid w:val="7A8E5036"/>
    <w:rsid w:val="7AC88418"/>
    <w:rsid w:val="7B3D8240"/>
    <w:rsid w:val="7B71DC9A"/>
    <w:rsid w:val="7CFFD01D"/>
    <w:rsid w:val="7D110343"/>
    <w:rsid w:val="7DB858AE"/>
    <w:rsid w:val="7DF252BA"/>
    <w:rsid w:val="7F5708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fr-FR" w:eastAsia="en-US" w:bidi="ar-SA"/>
    </w:rPr>
  </w:style>
  <w:style w:type="paragraph" w:styleId="2">
    <w:name w:val="heading 1"/>
    <w:basedOn w:val="1"/>
    <w:next w:val="1"/>
    <w:qFormat/>
    <w:uiPriority w:val="9"/>
    <w:pPr>
      <w:keepNext/>
      <w:keepLines/>
      <w:spacing w:before="240"/>
      <w:outlineLvl w:val="0"/>
    </w:pPr>
    <w:rPr>
      <w:rFonts w:ascii="Calibri" w:hAnsi="Calibri" w:eastAsia="Calibri" w:cs="Calibri"/>
      <w:color w:val="2E75B5"/>
      <w:sz w:val="32"/>
      <w:szCs w:val="32"/>
    </w:rPr>
  </w:style>
  <w:style w:type="paragraph" w:styleId="3">
    <w:name w:val="heading 2"/>
    <w:basedOn w:val="1"/>
    <w:next w:val="1"/>
    <w:semiHidden/>
    <w:unhideWhenUsed/>
    <w:qFormat/>
    <w:uiPriority w:val="9"/>
    <w:pPr>
      <w:widowControl w:val="0"/>
      <w:jc w:val="both"/>
      <w:outlineLvl w:val="1"/>
    </w:p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40"/>
      <w:outlineLvl w:val="3"/>
    </w:pPr>
    <w:rPr>
      <w:rFonts w:ascii="Calibri" w:hAnsi="Calibri" w:eastAsia="Calibri" w:cs="Calibri"/>
      <w:i/>
      <w:color w:val="2E75B5"/>
      <w:sz w:val="20"/>
      <w:szCs w:val="20"/>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5"/>
    <w:semiHidden/>
    <w:unhideWhenUsed/>
    <w:qFormat/>
    <w:uiPriority w:val="99"/>
    <w:rPr>
      <w:rFonts w:ascii="Segoe UI" w:hAnsi="Segoe UI" w:cs="Segoe UI"/>
      <w:sz w:val="18"/>
      <w:szCs w:val="18"/>
    </w:rPr>
  </w:style>
  <w:style w:type="character" w:styleId="11">
    <w:name w:val="annotation reference"/>
    <w:basedOn w:val="8"/>
    <w:semiHidden/>
    <w:unhideWhenUsed/>
    <w:uiPriority w:val="99"/>
    <w:rPr>
      <w:sz w:val="16"/>
      <w:szCs w:val="16"/>
    </w:rPr>
  </w:style>
  <w:style w:type="paragraph" w:styleId="12">
    <w:name w:val="annotation text"/>
    <w:basedOn w:val="1"/>
    <w:link w:val="24"/>
    <w:unhideWhenUsed/>
    <w:qFormat/>
    <w:uiPriority w:val="99"/>
    <w:rPr>
      <w:sz w:val="20"/>
      <w:szCs w:val="20"/>
    </w:rPr>
  </w:style>
  <w:style w:type="paragraph" w:styleId="13">
    <w:name w:val="annotation subject"/>
    <w:basedOn w:val="12"/>
    <w:next w:val="12"/>
    <w:link w:val="26"/>
    <w:semiHidden/>
    <w:unhideWhenUsed/>
    <w:qFormat/>
    <w:uiPriority w:val="99"/>
    <w:rPr>
      <w:b/>
      <w:bCs/>
    </w:rPr>
  </w:style>
  <w:style w:type="paragraph" w:styleId="14">
    <w:name w:val="footer"/>
    <w:basedOn w:val="1"/>
    <w:link w:val="35"/>
    <w:semiHidden/>
    <w:unhideWhenUsed/>
    <w:qFormat/>
    <w:uiPriority w:val="99"/>
    <w:pPr>
      <w:tabs>
        <w:tab w:val="center" w:pos="4680"/>
        <w:tab w:val="right" w:pos="9360"/>
      </w:tabs>
    </w:pPr>
  </w:style>
  <w:style w:type="paragraph" w:styleId="15">
    <w:name w:val="header"/>
    <w:basedOn w:val="1"/>
    <w:link w:val="34"/>
    <w:semiHidden/>
    <w:unhideWhenUsed/>
    <w:qFormat/>
    <w:uiPriority w:val="99"/>
    <w:pPr>
      <w:tabs>
        <w:tab w:val="center" w:pos="4680"/>
        <w:tab w:val="right" w:pos="9360"/>
      </w:tabs>
    </w:pPr>
  </w:style>
  <w:style w:type="paragraph" w:styleId="16">
    <w:name w:val="HTML Preformatted"/>
    <w:basedOn w:val="1"/>
    <w:link w:val="3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17">
    <w:name w:val="Hyperlink"/>
    <w:basedOn w:val="8"/>
    <w:unhideWhenUsed/>
    <w:uiPriority w:val="0"/>
    <w:rPr>
      <w:color w:val="0000FF" w:themeColor="hyperlink"/>
      <w:u w:val="single"/>
      <w14:textFill>
        <w14:solidFill>
          <w14:schemeClr w14:val="hlink"/>
        </w14:solidFill>
      </w14:textFill>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9">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qFormat/>
    <w:uiPriority w:val="10"/>
    <w:pPr>
      <w:jc w:val="center"/>
    </w:pPr>
    <w:rPr>
      <w:b/>
      <w:sz w:val="20"/>
      <w:szCs w:val="20"/>
    </w:rPr>
  </w:style>
  <w:style w:type="table" w:customStyle="1" w:styleId="21">
    <w:name w:val="_Style 11"/>
    <w:basedOn w:val="9"/>
    <w:qFormat/>
    <w:uiPriority w:val="0"/>
  </w:style>
  <w:style w:type="table" w:customStyle="1" w:styleId="22">
    <w:name w:val="_Style 12"/>
    <w:basedOn w:val="9"/>
    <w:qFormat/>
    <w:uiPriority w:val="0"/>
    <w:tblPr>
      <w:tblCellMar>
        <w:left w:w="115" w:type="dxa"/>
        <w:right w:w="115" w:type="dxa"/>
      </w:tblCellMar>
    </w:tblPr>
  </w:style>
  <w:style w:type="table" w:customStyle="1" w:styleId="23">
    <w:name w:val="_Style 13"/>
    <w:basedOn w:val="9"/>
    <w:qFormat/>
    <w:uiPriority w:val="0"/>
    <w:tblPr>
      <w:tblCellMar>
        <w:left w:w="115" w:type="dxa"/>
        <w:right w:w="115" w:type="dxa"/>
      </w:tblCellMar>
    </w:tblPr>
  </w:style>
  <w:style w:type="character" w:customStyle="1" w:styleId="24">
    <w:name w:val="Comment Text Char"/>
    <w:basedOn w:val="8"/>
    <w:link w:val="12"/>
    <w:qFormat/>
    <w:uiPriority w:val="99"/>
    <w:rPr>
      <w:sz w:val="20"/>
      <w:szCs w:val="20"/>
    </w:rPr>
  </w:style>
  <w:style w:type="character" w:customStyle="1" w:styleId="25">
    <w:name w:val="Balloon Text Char"/>
    <w:basedOn w:val="8"/>
    <w:link w:val="10"/>
    <w:semiHidden/>
    <w:qFormat/>
    <w:uiPriority w:val="99"/>
    <w:rPr>
      <w:rFonts w:ascii="Segoe UI" w:hAnsi="Segoe UI" w:cs="Segoe UI"/>
      <w:sz w:val="18"/>
      <w:szCs w:val="18"/>
    </w:rPr>
  </w:style>
  <w:style w:type="character" w:customStyle="1" w:styleId="26">
    <w:name w:val="Comment Subject Char"/>
    <w:basedOn w:val="24"/>
    <w:link w:val="13"/>
    <w:semiHidden/>
    <w:qFormat/>
    <w:uiPriority w:val="99"/>
    <w:rPr>
      <w:b/>
      <w:bCs/>
      <w:sz w:val="20"/>
      <w:szCs w:val="20"/>
    </w:rPr>
  </w:style>
  <w:style w:type="character" w:customStyle="1" w:styleId="27">
    <w:name w:val="normaltextrun"/>
    <w:basedOn w:val="8"/>
    <w:qFormat/>
    <w:uiPriority w:val="0"/>
  </w:style>
  <w:style w:type="paragraph" w:customStyle="1" w:styleId="28">
    <w:name w:val="paragraph"/>
    <w:basedOn w:val="1"/>
    <w:qFormat/>
    <w:uiPriority w:val="0"/>
    <w:pPr>
      <w:spacing w:before="100" w:beforeAutospacing="1" w:after="100" w:afterAutospacing="1"/>
    </w:pPr>
    <w:rPr>
      <w:lang w:val="en-US"/>
    </w:rPr>
  </w:style>
  <w:style w:type="paragraph" w:styleId="29">
    <w:name w:val="List Paragraph"/>
    <w:basedOn w:val="1"/>
    <w:link w:val="30"/>
    <w:qFormat/>
    <w:uiPriority w:val="34"/>
    <w:pPr>
      <w:spacing w:after="200" w:line="276" w:lineRule="auto"/>
      <w:ind w:left="720"/>
      <w:contextualSpacing/>
    </w:pPr>
    <w:rPr>
      <w:rFonts w:asciiTheme="minorHAnsi" w:hAnsiTheme="minorHAnsi" w:eastAsiaTheme="minorHAnsi" w:cstheme="minorBidi"/>
      <w:sz w:val="22"/>
      <w:szCs w:val="22"/>
      <w:lang w:val="en-US"/>
    </w:rPr>
  </w:style>
  <w:style w:type="character" w:customStyle="1" w:styleId="30">
    <w:name w:val="List Paragraph Char"/>
    <w:link w:val="29"/>
    <w:qFormat/>
    <w:locked/>
    <w:uiPriority w:val="34"/>
    <w:rPr>
      <w:rFonts w:asciiTheme="minorHAnsi" w:hAnsiTheme="minorHAnsi" w:eastAsiaTheme="minorHAnsi" w:cstheme="minorBidi"/>
      <w:sz w:val="22"/>
      <w:szCs w:val="22"/>
      <w:lang w:val="en-US"/>
    </w:rPr>
  </w:style>
  <w:style w:type="paragraph" w:styleId="31">
    <w:name w:val="No Spacing"/>
    <w:qFormat/>
    <w:uiPriority w:val="1"/>
    <w:rPr>
      <w:rFonts w:ascii="Times New Roman" w:hAnsi="Times New Roman" w:eastAsia="Times New Roman" w:cs="Times New Roman"/>
      <w:sz w:val="24"/>
      <w:szCs w:val="24"/>
      <w:lang w:val="en-US" w:eastAsia="en-US" w:bidi="ar-SA"/>
    </w:rPr>
  </w:style>
  <w:style w:type="character" w:customStyle="1" w:styleId="32">
    <w:name w:val="HTML Preformatted Char"/>
    <w:basedOn w:val="8"/>
    <w:link w:val="16"/>
    <w:qFormat/>
    <w:uiPriority w:val="99"/>
    <w:rPr>
      <w:rFonts w:ascii="Courier New" w:hAnsi="Courier New" w:cs="Courier New"/>
      <w:sz w:val="20"/>
      <w:szCs w:val="20"/>
      <w:lang w:val="en-US"/>
    </w:rPr>
  </w:style>
  <w:style w:type="character" w:customStyle="1" w:styleId="33">
    <w:name w:val="eop"/>
    <w:basedOn w:val="8"/>
    <w:qFormat/>
    <w:uiPriority w:val="0"/>
  </w:style>
  <w:style w:type="character" w:customStyle="1" w:styleId="34">
    <w:name w:val="Header Char"/>
    <w:basedOn w:val="8"/>
    <w:link w:val="15"/>
    <w:semiHidden/>
    <w:qFormat/>
    <w:uiPriority w:val="99"/>
  </w:style>
  <w:style w:type="character" w:customStyle="1" w:styleId="35">
    <w:name w:val="Footer Char"/>
    <w:basedOn w:val="8"/>
    <w:link w:val="14"/>
    <w:semiHidden/>
    <w:qFormat/>
    <w:uiPriority w:val="99"/>
  </w:style>
  <w:style w:type="paragraph" w:customStyle="1" w:styleId="36">
    <w:name w:val="Revision"/>
    <w:hidden/>
    <w:semiHidden/>
    <w:qFormat/>
    <w:uiPriority w:val="99"/>
    <w:rPr>
      <w:rFonts w:ascii="Times New Roman" w:hAnsi="Times New Roman" w:eastAsia="Times New Roman" w:cs="Times New Roman"/>
      <w:sz w:val="24"/>
      <w:szCs w:val="24"/>
      <w:lang w:val="fr-FR"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e4c319a-892a-46f7-bcb0-94544ab0d0f0" xsi:nil="true"/>
    <SharedWithUsers xmlns="9e4c319a-892a-46f7-bcb0-94544ab0d0f0">
      <UserInfo>
        <DisplayName/>
        <AccountId xsi:nil="true"/>
        <AccountType/>
      </UserInfo>
    </SharedWithUsers>
    <lcf76f155ced4ddcb4097134ff3c332f xmlns="642473f9-8823-4a22-b9f1-05d5d48cf5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80F8FD67CFC6489619AD64FCB912DB" ma:contentTypeVersion="16" ma:contentTypeDescription="Create a new document." ma:contentTypeScope="" ma:versionID="9b5d26204af3d45e82e98a8468421b3e">
  <xsd:schema xmlns:xsd="http://www.w3.org/2001/XMLSchema" xmlns:xs="http://www.w3.org/2001/XMLSchema" xmlns:p="http://schemas.microsoft.com/office/2006/metadata/properties" xmlns:ns2="642473f9-8823-4a22-b9f1-05d5d48cf520" xmlns:ns3="9e4c319a-892a-46f7-bcb0-94544ab0d0f0" targetNamespace="http://schemas.microsoft.com/office/2006/metadata/properties" ma:root="true" ma:fieldsID="22e43de54e85e2f8af59b6eba08fdc00" ns2:_="" ns3:_="">
    <xsd:import namespace="642473f9-8823-4a22-b9f1-05d5d48cf520"/>
    <xsd:import namespace="9e4c319a-892a-46f7-bcb0-94544ab0d0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473f9-8823-4a22-b9f1-05d5d48cf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edcaee8-5518-48b4-afa3-93a69b5c44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c319a-892a-46f7-bcb0-94544ab0d0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af1a643-0919-4bf3-a7e2-5ffb544618e6}" ma:internalName="TaxCatchAll" ma:showField="CatchAllData" ma:web="9e4c319a-892a-46f7-bcb0-94544ab0d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9EEA9-EAC5-43DC-BD3F-33D34D26E231}">
  <ds:schemaRefs/>
</ds:datastoreItem>
</file>

<file path=customXml/itemProps2.xml><?xml version="1.0" encoding="utf-8"?>
<ds:datastoreItem xmlns:ds="http://schemas.openxmlformats.org/officeDocument/2006/customXml" ds:itemID="{96F5F766-DA24-4660-B8CB-BAE62833D3F9}">
  <ds:schemaRefs/>
</ds:datastoreItem>
</file>

<file path=customXml/itemProps3.xml><?xml version="1.0" encoding="utf-8"?>
<ds:datastoreItem xmlns:ds="http://schemas.openxmlformats.org/officeDocument/2006/customXml" ds:itemID="{32E3AFD5-CE33-4CB0-8A47-5F60BF83C664}">
  <ds:schemaRefs/>
</ds:datastoreItem>
</file>

<file path=docProps/app.xml><?xml version="1.0" encoding="utf-8"?>
<Properties xmlns="http://schemas.openxmlformats.org/officeDocument/2006/extended-properties" xmlns:vt="http://schemas.openxmlformats.org/officeDocument/2006/docPropsVTypes">
  <Template>Normal</Template>
  <Pages>9</Pages>
  <TotalTime>13</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2022-07-07T03:16:00Z</dcterms:created>
  <dc:creator>Victor Zoumanigui</dc:creator>
  <cp:lastModifiedBy>ngueye</cp:lastModifiedBy>
  <dcterms:modified xsi:type="dcterms:W3CDTF">2025-01-09T15:40:58Z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0x010100E280F8FD67CFC6489619AD64FCB912DB</vt:lpwstr>
  </property>
  <property fmtid="{D5CDD505-2E9C-101B-9397-08002B2CF9AE}" pid="3" name="Program">
    <vt:lpwstr>2;#1090|af24c37f-4725-4d3a-a756-0cca0e0f8f01</vt:lpwstr>
  </property>
  <property fmtid="{D5CDD505-2E9C-101B-9397-08002B2CF9AE}" pid="4" name="Country">
    <vt:lpwstr>3;#Mauritania|25681cff-2aed-41c6-8195-bd2442240b07</vt:lpwstr>
  </property>
  <property fmtid="{D5CDD505-2E9C-101B-9397-08002B2CF9AE}" pid="5" name="MediaServiceImageTags">
    <vt:lpwstr/>
  </property>
  <property fmtid="{D5CDD505-2E9C-101B-9397-08002B2CF9AE}" pid="6" name="KSOProductBuildVer">
    <vt:lpwstr>1033-12.2.0.19805</vt:lpwstr>
  </property>
  <property fmtid="{D5CDD505-2E9C-101B-9397-08002B2CF9AE}" pid="7" name="ICV">
    <vt:lpwstr>D5DA73F50CA743EFB7A40B53E0386C99_13</vt:lpwstr>
  </property>
</Properties>
</file>