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sz w:val="22"/>
          <w:szCs w:val="22"/>
          <w:lang w:val="fr-FR"/>
        </w:rPr>
      </w:pPr>
      <w:r>
        <w:rPr>
          <w:rFonts w:cstheme="minorHAnsi"/>
          <w:noProof/>
          <w:color w:val="2B579A"/>
          <w:sz w:val="22"/>
          <w:shd w:val="clear" w:color="auto" w:fill="E6E6E6"/>
          <w:lang w:val="fr-FR" w:eastAsia="fr-FR"/>
        </w:rPr>
        <w:drawing>
          <wp:anchor distT="0" distB="0" distL="114300" distR="114300" simplePos="0" relativeHeight="251659264" behindDoc="0" locked="0" layoutInCell="1" allowOverlap="1">
            <wp:simplePos x="0" y="0"/>
            <wp:positionH relativeFrom="page">
              <wp:align>right</wp:align>
            </wp:positionH>
            <wp:positionV relativeFrom="topMargin">
              <wp:posOffset>38100</wp:posOffset>
            </wp:positionV>
            <wp:extent cx="2230120" cy="996950"/>
            <wp:effectExtent l="0" t="0" r="0" b="0"/>
            <wp:wrapSquare wrapText="bothSides"/>
            <wp:docPr id="1" name="Picture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30120" cy="996950"/>
                    </a:xfrm>
                    <a:prstGeom prst="rect">
                      <a:avLst/>
                    </a:prstGeom>
                    <a:noFill/>
                    <a:ln>
                      <a:noFill/>
                    </a:ln>
                  </pic:spPr>
                </pic:pic>
              </a:graphicData>
            </a:graphic>
          </wp:anchor>
        </w:drawing>
      </w:r>
    </w:p>
    <w:p w:rsidR="00D553F8" w:rsidRDefault="00D553F8">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sz w:val="22"/>
          <w:szCs w:val="22"/>
          <w:lang w:val="fr-FR"/>
        </w:rPr>
      </w:pPr>
    </w:p>
    <w:p w:rsidR="00D553F8" w:rsidRDefault="00D553F8">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sz w:val="22"/>
          <w:szCs w:val="22"/>
          <w:lang w:val="fr-FR"/>
        </w:rPr>
      </w:pP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lang w:val="fr-FR"/>
        </w:rPr>
      </w:pPr>
      <w:r>
        <w:rPr>
          <w:rFonts w:ascii="Times New Roman" w:eastAsia="Times New Roman" w:hAnsi="Times New Roman" w:cs="Times New Roman"/>
          <w:b/>
          <w:bCs/>
          <w:lang w:val="fr-FR"/>
        </w:rPr>
        <w:t>APPEL D’OFFRES</w:t>
      </w:r>
    </w:p>
    <w:p w:rsidR="00D553F8" w:rsidRDefault="003461E1">
      <w:pPr>
        <w:pStyle w:val="Sansinterligne"/>
        <w:contextualSpacing/>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Recrutement d’un consultant ou d’un cabinet de consultance pour le renforcement des capacités des organisations de service aux jeunes (NAFOORE)</w:t>
      </w:r>
    </w:p>
    <w:p w:rsidR="00D553F8" w:rsidRDefault="00D553F8">
      <w:pPr>
        <w:contextualSpacing/>
        <w:jc w:val="center"/>
        <w:rPr>
          <w:rFonts w:ascii="Times New Roman" w:eastAsia="Times New Roman" w:hAnsi="Times New Roman" w:cs="Times New Roman"/>
          <w:b/>
          <w:bCs/>
          <w:sz w:val="22"/>
          <w:szCs w:val="22"/>
          <w:lang w:val="fr-FR"/>
        </w:rPr>
      </w:pP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lang w:val="fr-FR"/>
        </w:rPr>
      </w:pPr>
      <w:r>
        <w:rPr>
          <w:rFonts w:ascii="Times New Roman" w:eastAsia="Times New Roman" w:hAnsi="Times New Roman" w:cs="Times New Roman"/>
          <w:b/>
          <w:bCs/>
          <w:lang w:val="fr-FR"/>
        </w:rPr>
        <w:t xml:space="preserve">Délivré par </w:t>
      </w:r>
      <w:proofErr w:type="gramStart"/>
      <w:r>
        <w:rPr>
          <w:rFonts w:ascii="Times New Roman" w:eastAsia="Times New Roman" w:hAnsi="Times New Roman" w:cs="Times New Roman"/>
          <w:b/>
          <w:bCs/>
          <w:lang w:val="fr-FR"/>
        </w:rPr>
        <w:t xml:space="preserve">:  </w:t>
      </w:r>
      <w:proofErr w:type="spellStart"/>
      <w:r>
        <w:rPr>
          <w:rFonts w:ascii="Times New Roman" w:eastAsia="Times New Roman" w:hAnsi="Times New Roman" w:cs="Times New Roman"/>
          <w:b/>
          <w:bCs/>
          <w:lang w:val="fr-FR"/>
        </w:rPr>
        <w:t>Counterpart</w:t>
      </w:r>
      <w:proofErr w:type="spellEnd"/>
      <w:proofErr w:type="gramEnd"/>
      <w:r>
        <w:rPr>
          <w:rFonts w:ascii="Times New Roman" w:eastAsia="Times New Roman" w:hAnsi="Times New Roman" w:cs="Times New Roman"/>
          <w:b/>
          <w:bCs/>
          <w:lang w:val="fr-FR"/>
        </w:rPr>
        <w:t xml:space="preserve"> International</w:t>
      </w:r>
    </w:p>
    <w:p w:rsidR="00D553F8" w:rsidRDefault="00D553F8">
      <w:pPr>
        <w:spacing w:after="160"/>
        <w:contextualSpacing/>
        <w:jc w:val="both"/>
        <w:rPr>
          <w:rFonts w:ascii="Times New Roman" w:eastAsia="Times New Roman" w:hAnsi="Times New Roman" w:cs="Times New Roman"/>
          <w:color w:val="595959" w:themeColor="text1" w:themeTint="A6"/>
          <w:spacing w:val="15"/>
          <w:sz w:val="22"/>
          <w:szCs w:val="22"/>
          <w:lang w:val="fr-FR"/>
        </w:rPr>
      </w:pPr>
    </w:p>
    <w:p w:rsidR="00D553F8" w:rsidRDefault="003461E1">
      <w:pPr>
        <w:tabs>
          <w:tab w:val="left" w:pos="888"/>
          <w:tab w:val="left" w:pos="1128"/>
          <w:tab w:val="left" w:pos="315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Date d’émission : </w:t>
      </w:r>
      <w:r>
        <w:tab/>
      </w:r>
      <w:r>
        <w:tab/>
      </w:r>
      <w:r>
        <w:rPr>
          <w:rFonts w:ascii="Times New Roman" w:eastAsia="Times New Roman" w:hAnsi="Times New Roman" w:cs="Times New Roman"/>
          <w:sz w:val="22"/>
          <w:szCs w:val="22"/>
          <w:lang w:val="fr-FR"/>
        </w:rPr>
        <w:t xml:space="preserve">03 </w:t>
      </w:r>
      <w:proofErr w:type="gramStart"/>
      <w:r>
        <w:rPr>
          <w:rFonts w:ascii="Times New Roman" w:eastAsia="Times New Roman" w:hAnsi="Times New Roman" w:cs="Times New Roman"/>
          <w:sz w:val="22"/>
          <w:szCs w:val="22"/>
          <w:lang w:val="fr-FR"/>
        </w:rPr>
        <w:t>Octobre  2024</w:t>
      </w:r>
      <w:proofErr w:type="gramEnd"/>
      <w:r>
        <w:tab/>
      </w: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Numéro de la demande</w:t>
      </w:r>
      <w:bookmarkStart w:id="0" w:name="_GoBack"/>
      <w:bookmarkEnd w:id="0"/>
      <w:r>
        <w:rPr>
          <w:rFonts w:ascii="Times New Roman" w:eastAsia="Times New Roman" w:hAnsi="Times New Roman" w:cs="Times New Roman"/>
          <w:sz w:val="22"/>
          <w:szCs w:val="22"/>
          <w:lang w:val="fr-FR"/>
        </w:rPr>
        <w:t xml:space="preserve"> de offres : </w:t>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eastAsia="Times New Roman" w:hAnsi="Times New Roman" w:cs="Times New Roman"/>
          <w:sz w:val="22"/>
          <w:szCs w:val="22"/>
          <w:lang w:val="fr-FR"/>
        </w:rPr>
        <w:t xml:space="preserve">NAFORE-RFQ-C Recrutement d’un consultant ou d’un cabinet de </w:t>
      </w: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proofErr w:type="gramStart"/>
      <w:r>
        <w:rPr>
          <w:rFonts w:ascii="Times New Roman" w:eastAsia="Times New Roman" w:hAnsi="Times New Roman" w:cs="Times New Roman"/>
          <w:sz w:val="22"/>
          <w:szCs w:val="22"/>
          <w:lang w:val="fr-FR"/>
        </w:rPr>
        <w:t>consultance</w:t>
      </w:r>
      <w:proofErr w:type="gramEnd"/>
      <w:r>
        <w:rPr>
          <w:rFonts w:ascii="Times New Roman" w:eastAsia="Times New Roman" w:hAnsi="Times New Roman" w:cs="Times New Roman"/>
          <w:sz w:val="22"/>
          <w:szCs w:val="22"/>
          <w:lang w:val="fr-FR"/>
        </w:rPr>
        <w:t xml:space="preserve"> pour le renforcement des capacités des organisations de </w:t>
      </w: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b/>
          <w:bCs/>
          <w:sz w:val="22"/>
          <w:szCs w:val="22"/>
          <w:shd w:val="clear" w:color="auto" w:fill="BFBFBF" w:themeFill="background1" w:themeFillShade="BF"/>
          <w:lang w:val="fr-FR"/>
        </w:rPr>
      </w:pP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proofErr w:type="gramStart"/>
      <w:r>
        <w:rPr>
          <w:rFonts w:ascii="Times New Roman" w:eastAsia="Times New Roman" w:hAnsi="Times New Roman" w:cs="Times New Roman"/>
          <w:sz w:val="22"/>
          <w:szCs w:val="22"/>
          <w:lang w:val="fr-FR"/>
        </w:rPr>
        <w:t>service</w:t>
      </w:r>
      <w:proofErr w:type="gramEnd"/>
      <w:r>
        <w:rPr>
          <w:rFonts w:ascii="Times New Roman" w:eastAsia="Times New Roman" w:hAnsi="Times New Roman" w:cs="Times New Roman"/>
          <w:sz w:val="22"/>
          <w:szCs w:val="22"/>
          <w:lang w:val="fr-FR"/>
        </w:rPr>
        <w:t xml:space="preserve"> aux jeunes</w:t>
      </w: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Délai pour poser des questions : </w:t>
      </w:r>
      <w:r>
        <w:tab/>
      </w:r>
      <w:r>
        <w:tab/>
      </w:r>
      <w:r>
        <w:rPr>
          <w:rFonts w:ascii="Times New Roman" w:eastAsia="Times New Roman" w:hAnsi="Times New Roman" w:cs="Times New Roman"/>
          <w:sz w:val="22"/>
          <w:szCs w:val="22"/>
          <w:lang w:val="fr-FR"/>
        </w:rPr>
        <w:t xml:space="preserve">11 </w:t>
      </w:r>
      <w:bookmarkStart w:id="1" w:name="_Int_sKbmKlRX"/>
      <w:r>
        <w:rPr>
          <w:rFonts w:ascii="Times New Roman" w:eastAsia="Times New Roman" w:hAnsi="Times New Roman" w:cs="Times New Roman"/>
          <w:sz w:val="22"/>
          <w:szCs w:val="22"/>
          <w:lang w:val="fr-FR"/>
        </w:rPr>
        <w:t>Octobre</w:t>
      </w:r>
      <w:bookmarkEnd w:id="1"/>
      <w:r>
        <w:rPr>
          <w:rFonts w:ascii="Times New Roman" w:eastAsia="Times New Roman" w:hAnsi="Times New Roman" w:cs="Times New Roman"/>
          <w:sz w:val="22"/>
          <w:szCs w:val="22"/>
          <w:lang w:val="fr-FR"/>
        </w:rPr>
        <w:t xml:space="preserve">, 2024 à 17 </w:t>
      </w:r>
      <w:proofErr w:type="spellStart"/>
      <w:r>
        <w:rPr>
          <w:rFonts w:ascii="Times New Roman" w:eastAsia="Times New Roman" w:hAnsi="Times New Roman" w:cs="Times New Roman"/>
          <w:sz w:val="22"/>
          <w:szCs w:val="22"/>
          <w:lang w:val="fr-FR"/>
        </w:rPr>
        <w:t>hr</w:t>
      </w:r>
      <w:proofErr w:type="spellEnd"/>
      <w:r>
        <w:rPr>
          <w:rFonts w:ascii="Times New Roman" w:eastAsia="Times New Roman" w:hAnsi="Times New Roman" w:cs="Times New Roman"/>
          <w:sz w:val="22"/>
          <w:szCs w:val="22"/>
          <w:lang w:val="fr-FR"/>
        </w:rPr>
        <w:t xml:space="preserve"> GMT</w:t>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Délai fixé pour les réponses :</w:t>
      </w:r>
      <w:r>
        <w:tab/>
      </w:r>
      <w:r>
        <w:rPr>
          <w:rFonts w:ascii="Times New Roman" w:eastAsia="Times New Roman" w:hAnsi="Times New Roman" w:cs="Times New Roman"/>
          <w:sz w:val="22"/>
          <w:szCs w:val="22"/>
          <w:lang w:val="fr-FR"/>
        </w:rPr>
        <w:t xml:space="preserve">               15 </w:t>
      </w:r>
      <w:bookmarkStart w:id="2" w:name="_Int_G08pTYW4"/>
      <w:r>
        <w:rPr>
          <w:rFonts w:ascii="Times New Roman" w:eastAsia="Times New Roman" w:hAnsi="Times New Roman" w:cs="Times New Roman"/>
          <w:sz w:val="22"/>
          <w:szCs w:val="22"/>
          <w:lang w:val="fr-FR"/>
        </w:rPr>
        <w:t>Octobre</w:t>
      </w:r>
      <w:bookmarkEnd w:id="2"/>
      <w:r>
        <w:rPr>
          <w:rFonts w:ascii="Times New Roman" w:eastAsia="Times New Roman" w:hAnsi="Times New Roman" w:cs="Times New Roman"/>
          <w:sz w:val="22"/>
          <w:szCs w:val="22"/>
          <w:lang w:val="fr-FR"/>
        </w:rPr>
        <w:t xml:space="preserve">, 2024 à 17 </w:t>
      </w:r>
      <w:proofErr w:type="spellStart"/>
      <w:r>
        <w:rPr>
          <w:rFonts w:ascii="Times New Roman" w:eastAsia="Times New Roman" w:hAnsi="Times New Roman" w:cs="Times New Roman"/>
          <w:sz w:val="22"/>
          <w:szCs w:val="22"/>
          <w:lang w:val="fr-FR"/>
        </w:rPr>
        <w:t>hr</w:t>
      </w:r>
      <w:proofErr w:type="spellEnd"/>
      <w:r>
        <w:rPr>
          <w:rFonts w:ascii="Times New Roman" w:eastAsia="Times New Roman" w:hAnsi="Times New Roman" w:cs="Times New Roman"/>
          <w:sz w:val="22"/>
          <w:szCs w:val="22"/>
          <w:lang w:val="fr-FR"/>
        </w:rPr>
        <w:t xml:space="preserve"> GMT</w:t>
      </w:r>
      <w:r>
        <w:tab/>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 xml:space="preserve">Date de clôture de réception des </w:t>
      </w:r>
      <w:proofErr w:type="gramStart"/>
      <w:r>
        <w:rPr>
          <w:rFonts w:ascii="Times New Roman" w:eastAsia="Times New Roman" w:hAnsi="Times New Roman" w:cs="Times New Roman"/>
          <w:sz w:val="22"/>
          <w:szCs w:val="22"/>
          <w:lang w:val="fr-FR"/>
        </w:rPr>
        <w:t>offres:</w:t>
      </w:r>
      <w:proofErr w:type="gramEnd"/>
      <w:r>
        <w:rPr>
          <w:rFonts w:ascii="Times New Roman" w:eastAsia="Times New Roman" w:hAnsi="Times New Roman" w:cs="Times New Roman"/>
          <w:sz w:val="22"/>
          <w:szCs w:val="22"/>
          <w:lang w:val="fr-FR"/>
        </w:rPr>
        <w:t xml:space="preserve"> </w:t>
      </w:r>
      <w:r>
        <w:tab/>
      </w:r>
      <w:r>
        <w:rPr>
          <w:rFonts w:ascii="Times New Roman" w:eastAsiaTheme="minorEastAsia" w:hAnsi="Times New Roman" w:cs="Times New Roman"/>
          <w:sz w:val="22"/>
          <w:szCs w:val="22"/>
          <w:lang w:val="fr-FR"/>
        </w:rPr>
        <w:t xml:space="preserve">18 </w:t>
      </w:r>
      <w:bookmarkStart w:id="3" w:name="_Int_BPkoeBaG"/>
      <w:r>
        <w:rPr>
          <w:rFonts w:ascii="Times New Roman" w:eastAsiaTheme="minorEastAsia" w:hAnsi="Times New Roman" w:cs="Times New Roman"/>
          <w:sz w:val="22"/>
          <w:szCs w:val="22"/>
          <w:lang w:val="fr-FR"/>
        </w:rPr>
        <w:t>Octobre</w:t>
      </w:r>
      <w:bookmarkEnd w:id="3"/>
      <w:r>
        <w:rPr>
          <w:rFonts w:ascii="Times New Roman" w:eastAsiaTheme="minorEastAsia" w:hAnsi="Times New Roman" w:cs="Times New Roman"/>
          <w:sz w:val="22"/>
          <w:szCs w:val="22"/>
          <w:lang w:val="fr-FR"/>
        </w:rPr>
        <w:t xml:space="preserve"> 2024 à 12 </w:t>
      </w:r>
      <w:proofErr w:type="spellStart"/>
      <w:r>
        <w:rPr>
          <w:rFonts w:ascii="Times New Roman" w:eastAsiaTheme="minorEastAsia" w:hAnsi="Times New Roman" w:cs="Times New Roman"/>
          <w:sz w:val="22"/>
          <w:szCs w:val="22"/>
          <w:lang w:val="fr-FR"/>
        </w:rPr>
        <w:t>hr</w:t>
      </w:r>
      <w:proofErr w:type="spellEnd"/>
      <w:r>
        <w:rPr>
          <w:rFonts w:ascii="Times New Roman" w:eastAsiaTheme="minorEastAsia" w:hAnsi="Times New Roman" w:cs="Times New Roman"/>
          <w:sz w:val="22"/>
          <w:szCs w:val="22"/>
          <w:lang w:val="fr-FR"/>
        </w:rPr>
        <w:t xml:space="preserve"> GMT</w:t>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Style w:val="Lienhypertexte"/>
          <w:rFonts w:ascii="Times New Roman" w:eastAsia="Times New Roman" w:hAnsi="Times New Roman" w:cs="Times New Roman"/>
          <w:b/>
          <w:bCs/>
          <w:color w:val="auto"/>
          <w:sz w:val="22"/>
          <w:szCs w:val="22"/>
          <w:lang w:val="fr-FR"/>
        </w:rPr>
      </w:pPr>
      <w:r>
        <w:rPr>
          <w:rFonts w:ascii="Times New Roman" w:eastAsia="Times New Roman" w:hAnsi="Times New Roman" w:cs="Times New Roman"/>
          <w:sz w:val="22"/>
          <w:szCs w:val="22"/>
          <w:lang w:val="fr-FR"/>
        </w:rPr>
        <w:t xml:space="preserve">Soumettre les questions </w:t>
      </w:r>
      <w:proofErr w:type="gramStart"/>
      <w:r>
        <w:rPr>
          <w:rFonts w:ascii="Times New Roman" w:eastAsia="Times New Roman" w:hAnsi="Times New Roman" w:cs="Times New Roman"/>
          <w:sz w:val="22"/>
          <w:szCs w:val="22"/>
          <w:lang w:val="fr-FR"/>
        </w:rPr>
        <w:t>à:</w:t>
      </w:r>
      <w:proofErr w:type="gramEnd"/>
      <w:r>
        <w:rPr>
          <w:rFonts w:ascii="Times New Roman" w:eastAsia="Times New Roman" w:hAnsi="Times New Roman" w:cs="Times New Roman"/>
          <w:sz w:val="22"/>
          <w:szCs w:val="22"/>
          <w:lang w:val="fr-FR"/>
        </w:rPr>
        <w:t xml:space="preserve"> </w:t>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hyperlink r:id="rId12" w:history="1">
        <w:r>
          <w:rPr>
            <w:rStyle w:val="Lienhypertexte"/>
            <w:rFonts w:ascii="Times New Roman" w:eastAsia="Times New Roman" w:hAnsi="Times New Roman" w:cs="Times New Roman"/>
            <w:b/>
            <w:bCs/>
            <w:sz w:val="22"/>
            <w:szCs w:val="22"/>
            <w:lang w:val="fr-FR"/>
          </w:rPr>
          <w:t>procurement.mauritania</w:t>
        </w:r>
        <w:r>
          <w:rPr>
            <w:rStyle w:val="Lienhypertexte"/>
            <w:rFonts w:ascii="Times New Roman" w:eastAsia="Times New Roman" w:hAnsi="Times New Roman" w:cs="Times New Roman"/>
            <w:b/>
            <w:bCs/>
            <w:sz w:val="22"/>
            <w:szCs w:val="22"/>
            <w:lang w:val="fr-FR"/>
          </w:rPr>
          <w:t>@counterpart.org</w:t>
        </w:r>
      </w:hyperlink>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4560" w:right="-451" w:hanging="4560"/>
        <w:contextualSpacing/>
        <w:rPr>
          <w:rFonts w:ascii="Times New Roman" w:eastAsia="Times New Roman" w:hAnsi="Times New Roman" w:cs="Times New Roman"/>
          <w:sz w:val="22"/>
          <w:szCs w:val="22"/>
          <w:lang w:val="fr-FR"/>
        </w:rPr>
      </w:pPr>
      <w:r>
        <w:rPr>
          <w:rStyle w:val="Lienhypertexte"/>
          <w:rFonts w:ascii="Times New Roman" w:eastAsia="Times New Roman" w:hAnsi="Times New Roman" w:cs="Times New Roman"/>
          <w:color w:val="auto"/>
          <w:sz w:val="22"/>
          <w:szCs w:val="22"/>
          <w:u w:val="none"/>
          <w:lang w:val="fr-FR"/>
        </w:rPr>
        <w:t>Soumettre les offres sous plis ferm</w:t>
      </w:r>
      <w:r>
        <w:rPr>
          <w:rFonts w:ascii="Times New Roman" w:eastAsia="Times New Roman" w:hAnsi="Times New Roman" w:cs="Times New Roman"/>
          <w:sz w:val="22"/>
          <w:szCs w:val="22"/>
          <w:lang w:val="fr-FR"/>
        </w:rPr>
        <w:t>é</w:t>
      </w:r>
      <w:r>
        <w:rPr>
          <w:rStyle w:val="Lienhypertexte"/>
          <w:rFonts w:ascii="Times New Roman" w:eastAsia="Times New Roman" w:hAnsi="Times New Roman" w:cs="Times New Roman"/>
          <w:color w:val="auto"/>
          <w:sz w:val="22"/>
          <w:szCs w:val="22"/>
          <w:u w:val="none"/>
          <w:lang w:val="fr-FR"/>
        </w:rPr>
        <w:t xml:space="preserve">s </w:t>
      </w:r>
      <w:r>
        <w:rPr>
          <w:rFonts w:ascii="Times New Roman" w:eastAsia="Times New Roman" w:hAnsi="Times New Roman" w:cs="Times New Roman"/>
          <w:sz w:val="22"/>
          <w:szCs w:val="22"/>
          <w:lang w:val="fr-FR"/>
        </w:rPr>
        <w:t>à :</w:t>
      </w:r>
      <w:r>
        <w:rPr>
          <w:rFonts w:ascii="Times New Roman" w:hAnsi="Times New Roman" w:cs="Times New Roman"/>
          <w:sz w:val="22"/>
          <w:szCs w:val="22"/>
          <w:lang w:val="fr-FR"/>
        </w:rPr>
        <w:tab/>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International, Lot 254, </w:t>
      </w:r>
      <w:proofErr w:type="spellStart"/>
      <w:r>
        <w:rPr>
          <w:rFonts w:ascii="Times New Roman" w:eastAsia="Times New Roman" w:hAnsi="Times New Roman" w:cs="Times New Roman"/>
          <w:sz w:val="22"/>
          <w:szCs w:val="22"/>
          <w:lang w:val="fr-FR"/>
        </w:rPr>
        <w:t>TevragZeyna</w:t>
      </w:r>
      <w:proofErr w:type="spellEnd"/>
      <w:r>
        <w:rPr>
          <w:rFonts w:ascii="Times New Roman" w:eastAsia="Times New Roman" w:hAnsi="Times New Roman" w:cs="Times New Roman"/>
          <w:sz w:val="22"/>
          <w:szCs w:val="22"/>
          <w:lang w:val="fr-FR"/>
        </w:rPr>
        <w:t>, BP 3933</w:t>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4560" w:right="-451" w:hanging="4560"/>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t>Nouakchott Mauritanie</w:t>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hAnsi="Times New Roman" w:cs="Times New Roman"/>
          <w:sz w:val="22"/>
          <w:szCs w:val="22"/>
          <w:lang w:val="fr-FR"/>
        </w:rPr>
        <w:tab/>
      </w:r>
    </w:p>
    <w:p w:rsidR="00D553F8" w:rsidRDefault="003461E1">
      <w:pPr>
        <w:numPr>
          <w:ilvl w:val="0"/>
          <w:numId w:val="1"/>
        </w:num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hanging="1080"/>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INTRODUCTION</w:t>
      </w:r>
    </w:p>
    <w:p w:rsidR="00D553F8" w:rsidRDefault="003461E1">
      <w:pPr>
        <w:shd w:val="clear" w:color="auto" w:fill="FFFFFF" w:themeFill="background1"/>
        <w:ind w:left="-360"/>
        <w:contextualSpacing/>
        <w:jc w:val="both"/>
        <w:rPr>
          <w:rFonts w:ascii="Times New Roman" w:eastAsia="Times New Roman" w:hAnsi="Times New Roman" w:cs="Times New Roman"/>
          <w:sz w:val="22"/>
          <w:szCs w:val="22"/>
          <w:lang w:val="fr"/>
        </w:rPr>
      </w:pP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International est une organisation Américaine non-gouvernementale intervenant dans </w:t>
      </w:r>
      <w:r>
        <w:rPr>
          <w:rFonts w:ascii="Times New Roman" w:eastAsia="Times New Roman" w:hAnsi="Times New Roman" w:cs="Times New Roman"/>
          <w:sz w:val="22"/>
          <w:szCs w:val="22"/>
          <w:lang w:val="fr-FR"/>
        </w:rPr>
        <w:t xml:space="preserve">le secteur du développement international et travaille en étroite collaboration avec des individus, des organisations et des réseaux du monde entier qui se sont engagés à créer le bien social.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International, à travers ses partenaires, œuvre pou</w:t>
      </w:r>
      <w:r>
        <w:rPr>
          <w:rFonts w:ascii="Times New Roman" w:eastAsia="Times New Roman" w:hAnsi="Times New Roman" w:cs="Times New Roman"/>
          <w:sz w:val="22"/>
          <w:szCs w:val="22"/>
          <w:lang w:val="fr-FR"/>
        </w:rPr>
        <w:t xml:space="preserve">r une gouvernance plus ouverte et plus participative, l’accès des communautés à l'éducation, la protection des ressources naturelles, la résilience aux changements climatiques et l'amélioration des moyens de subsistance.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met actuellement en œuv</w:t>
      </w:r>
      <w:r>
        <w:rPr>
          <w:rFonts w:ascii="Times New Roman" w:eastAsia="Times New Roman" w:hAnsi="Times New Roman" w:cs="Times New Roman"/>
          <w:sz w:val="22"/>
          <w:szCs w:val="22"/>
          <w:lang w:val="fr-FR"/>
        </w:rPr>
        <w:t>re des programmes dans 22 pays et emploie près de 1000 personnes dans le monde.</w:t>
      </w:r>
      <w:r>
        <w:rPr>
          <w:rFonts w:ascii="Times New Roman" w:eastAsia="Times New Roman" w:hAnsi="Times New Roman" w:cs="Times New Roman"/>
          <w:sz w:val="22"/>
          <w:szCs w:val="22"/>
          <w:lang w:val="fr"/>
        </w:rPr>
        <w:t xml:space="preserve">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International (ci-après dénommée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lance un avis d’appel d’offres pour le Recrutement d’un consultant ou d’un cabinet de consultance pour le renforcement</w:t>
      </w:r>
      <w:r>
        <w:rPr>
          <w:rFonts w:ascii="Times New Roman" w:eastAsia="Times New Roman" w:hAnsi="Times New Roman" w:cs="Times New Roman"/>
          <w:sz w:val="22"/>
          <w:szCs w:val="22"/>
          <w:lang w:val="fr-FR"/>
        </w:rPr>
        <w:t xml:space="preserve"> des capacités des organisations de service aux jeunes. Ces services sont requis dans le cadre du programme </w:t>
      </w:r>
      <w:proofErr w:type="spellStart"/>
      <w:r>
        <w:rPr>
          <w:rFonts w:ascii="Times New Roman" w:eastAsia="Times New Roman" w:hAnsi="Times New Roman" w:cs="Times New Roman"/>
          <w:sz w:val="22"/>
          <w:szCs w:val="22"/>
          <w:lang w:val="fr-FR"/>
        </w:rPr>
        <w:t>Nafoore</w:t>
      </w:r>
      <w:proofErr w:type="spellEnd"/>
      <w:r>
        <w:rPr>
          <w:rFonts w:ascii="Times New Roman" w:eastAsia="Times New Roman" w:hAnsi="Times New Roman" w:cs="Times New Roman"/>
          <w:sz w:val="22"/>
          <w:szCs w:val="22"/>
          <w:lang w:val="fr-FR"/>
        </w:rPr>
        <w:t xml:space="preserve"> financé par l’Agence des Etats Unis pour le Développement International « USAID ».  </w:t>
      </w:r>
      <w:r>
        <w:rPr>
          <w:rFonts w:ascii="Times New Roman" w:eastAsia="Times New Roman" w:hAnsi="Times New Roman" w:cs="Times New Roman"/>
          <w:sz w:val="22"/>
          <w:szCs w:val="22"/>
          <w:lang w:val="fr"/>
        </w:rPr>
        <w:t>Les soumissionnaires ne seront pas remboursés pour les f</w:t>
      </w:r>
      <w:r>
        <w:rPr>
          <w:rFonts w:ascii="Times New Roman" w:eastAsia="Times New Roman" w:hAnsi="Times New Roman" w:cs="Times New Roman"/>
          <w:sz w:val="22"/>
          <w:szCs w:val="22"/>
          <w:lang w:val="fr"/>
        </w:rPr>
        <w:t xml:space="preserve">rais occasionnés dans la préparation et la soumission de leurs offres. </w:t>
      </w:r>
    </w:p>
    <w:p w:rsidR="00D553F8" w:rsidRDefault="00D553F8">
      <w:pPr>
        <w:shd w:val="clear" w:color="auto" w:fill="FFFFFF" w:themeFill="background1"/>
        <w:ind w:left="-360"/>
        <w:contextualSpacing/>
        <w:jc w:val="both"/>
        <w:rPr>
          <w:rFonts w:ascii="Times New Roman" w:eastAsia="Times New Roman" w:hAnsi="Times New Roman" w:cs="Times New Roman"/>
          <w:sz w:val="22"/>
          <w:szCs w:val="22"/>
          <w:lang w:val="fr"/>
        </w:rPr>
      </w:pPr>
    </w:p>
    <w:p w:rsidR="00D553F8" w:rsidRDefault="003461E1">
      <w:pPr>
        <w:ind w:left="-360" w:right="-465"/>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b/>
          <w:bCs/>
          <w:sz w:val="22"/>
          <w:szCs w:val="22"/>
          <w:lang w:val="fr-FR"/>
        </w:rPr>
        <w:t xml:space="preserve">A propos du programme </w:t>
      </w:r>
      <w:proofErr w:type="spellStart"/>
      <w:r>
        <w:rPr>
          <w:rFonts w:ascii="Times New Roman" w:eastAsia="Times New Roman" w:hAnsi="Times New Roman" w:cs="Times New Roman"/>
          <w:b/>
          <w:bCs/>
          <w:sz w:val="22"/>
          <w:szCs w:val="22"/>
          <w:lang w:val="fr-FR"/>
        </w:rPr>
        <w:t>Nafoore</w:t>
      </w:r>
      <w:proofErr w:type="spellEnd"/>
      <w:r>
        <w:rPr>
          <w:rFonts w:ascii="Times New Roman" w:eastAsia="Times New Roman" w:hAnsi="Times New Roman" w:cs="Times New Roman"/>
          <w:b/>
          <w:bCs/>
          <w:sz w:val="22"/>
          <w:szCs w:val="22"/>
          <w:lang w:val="fr-FR"/>
        </w:rPr>
        <w:t> </w:t>
      </w:r>
    </w:p>
    <w:p w:rsidR="00D553F8" w:rsidRDefault="003461E1">
      <w:pPr>
        <w:ind w:left="-360" w:right="-465"/>
        <w:contextualSpacing/>
        <w:jc w:val="both"/>
        <w:rPr>
          <w:rFonts w:ascii="Times New Roman" w:eastAsia="Times New Roman" w:hAnsi="Times New Roman" w:cs="Times New Roman"/>
          <w:sz w:val="22"/>
          <w:szCs w:val="22"/>
          <w:lang w:val="fr"/>
        </w:rPr>
      </w:pPr>
      <w:r>
        <w:rPr>
          <w:rFonts w:ascii="Times New Roman" w:eastAsia="Times New Roman" w:hAnsi="Times New Roman" w:cs="Times New Roman"/>
          <w:sz w:val="22"/>
          <w:szCs w:val="22"/>
          <w:lang w:val="fr-FR"/>
        </w:rPr>
        <w:t xml:space="preserve">L'objectif de </w:t>
      </w:r>
      <w:proofErr w:type="spellStart"/>
      <w:r>
        <w:rPr>
          <w:rFonts w:ascii="Times New Roman" w:eastAsia="Times New Roman" w:hAnsi="Times New Roman" w:cs="Times New Roman"/>
          <w:sz w:val="22"/>
          <w:szCs w:val="22"/>
          <w:lang w:val="fr-FR"/>
        </w:rPr>
        <w:t>Nafoore</w:t>
      </w:r>
      <w:proofErr w:type="spellEnd"/>
      <w:r>
        <w:rPr>
          <w:rFonts w:ascii="Times New Roman" w:eastAsia="Times New Roman" w:hAnsi="Times New Roman" w:cs="Times New Roman"/>
          <w:sz w:val="22"/>
          <w:szCs w:val="22"/>
          <w:lang w:val="fr-FR"/>
        </w:rPr>
        <w:t xml:space="preserve"> est d'accroître les capacités de résilience des jeunes Mauritaniens vulnérables afin qu'ils résistent à la radicalisation et au re</w:t>
      </w:r>
      <w:r>
        <w:rPr>
          <w:rFonts w:ascii="Times New Roman" w:eastAsia="Times New Roman" w:hAnsi="Times New Roman" w:cs="Times New Roman"/>
          <w:sz w:val="22"/>
          <w:szCs w:val="22"/>
          <w:lang w:val="fr-FR"/>
        </w:rPr>
        <w:t xml:space="preserve">crutement par les organisations extrémistes violentes. Pour atteindre ce but, </w:t>
      </w:r>
      <w:proofErr w:type="spellStart"/>
      <w:r>
        <w:rPr>
          <w:rFonts w:ascii="Times New Roman" w:eastAsia="Times New Roman" w:hAnsi="Times New Roman" w:cs="Times New Roman"/>
          <w:sz w:val="22"/>
          <w:szCs w:val="22"/>
          <w:lang w:val="fr-FR"/>
        </w:rPr>
        <w:t>Nafoore</w:t>
      </w:r>
      <w:proofErr w:type="spellEnd"/>
      <w:r>
        <w:rPr>
          <w:rFonts w:ascii="Times New Roman" w:eastAsia="Times New Roman" w:hAnsi="Times New Roman" w:cs="Times New Roman"/>
          <w:sz w:val="22"/>
          <w:szCs w:val="22"/>
          <w:lang w:val="fr-FR"/>
        </w:rPr>
        <w:t xml:space="preserve"> travaillera sur trois domaines d'objectifs :  </w:t>
      </w:r>
    </w:p>
    <w:p w:rsidR="00D553F8" w:rsidRDefault="003461E1">
      <w:pPr>
        <w:pStyle w:val="Paragraphedeliste"/>
        <w:numPr>
          <w:ilvl w:val="0"/>
          <w:numId w:val="2"/>
        </w:numPr>
        <w:spacing w:line="240" w:lineRule="auto"/>
        <w:ind w:right="-465"/>
        <w:jc w:val="both"/>
        <w:rPr>
          <w:rFonts w:ascii="Times New Roman" w:eastAsia="Times New Roman" w:hAnsi="Times New Roman" w:cs="Times New Roman"/>
          <w:lang w:val="fr"/>
        </w:rPr>
      </w:pPr>
      <w:r>
        <w:rPr>
          <w:rFonts w:ascii="Times New Roman" w:eastAsia="Times New Roman" w:hAnsi="Times New Roman" w:cs="Times New Roman"/>
          <w:lang w:val="fr-FR"/>
        </w:rPr>
        <w:t xml:space="preserve">Objectif </w:t>
      </w:r>
      <w:proofErr w:type="gramStart"/>
      <w:r>
        <w:rPr>
          <w:rFonts w:ascii="Times New Roman" w:eastAsia="Times New Roman" w:hAnsi="Times New Roman" w:cs="Times New Roman"/>
          <w:lang w:val="fr-FR"/>
        </w:rPr>
        <w:t>1:</w:t>
      </w:r>
      <w:proofErr w:type="gramEnd"/>
      <w:r>
        <w:rPr>
          <w:rFonts w:ascii="Times New Roman" w:eastAsia="Times New Roman" w:hAnsi="Times New Roman" w:cs="Times New Roman"/>
          <w:lang w:val="fr-FR"/>
        </w:rPr>
        <w:t xml:space="preserve"> Augmenter le potentiel économique des jeunes ;  </w:t>
      </w:r>
    </w:p>
    <w:p w:rsidR="00D553F8" w:rsidRDefault="003461E1">
      <w:pPr>
        <w:pStyle w:val="Paragraphedeliste"/>
        <w:numPr>
          <w:ilvl w:val="0"/>
          <w:numId w:val="2"/>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Objectif </w:t>
      </w:r>
      <w:proofErr w:type="gramStart"/>
      <w:r>
        <w:rPr>
          <w:rFonts w:ascii="Times New Roman" w:eastAsia="Times New Roman" w:hAnsi="Times New Roman" w:cs="Times New Roman"/>
          <w:lang w:val="fr-FR"/>
        </w:rPr>
        <w:t>2:</w:t>
      </w:r>
      <w:proofErr w:type="gramEnd"/>
      <w:r>
        <w:rPr>
          <w:rFonts w:ascii="Times New Roman" w:eastAsia="Times New Roman" w:hAnsi="Times New Roman" w:cs="Times New Roman"/>
          <w:lang w:val="fr-FR"/>
        </w:rPr>
        <w:t xml:space="preserve"> Renforcer l'appartenance et l'action des jeunes dans leur vie et leur </w:t>
      </w:r>
      <w:bookmarkStart w:id="4" w:name="_Int_0qArTVJZ"/>
      <w:r>
        <w:rPr>
          <w:rFonts w:ascii="Times New Roman" w:eastAsia="Times New Roman" w:hAnsi="Times New Roman" w:cs="Times New Roman"/>
          <w:lang w:val="fr-FR"/>
        </w:rPr>
        <w:t>communauté;</w:t>
      </w:r>
      <w:bookmarkEnd w:id="4"/>
      <w:r>
        <w:rPr>
          <w:rFonts w:ascii="Times New Roman" w:eastAsia="Times New Roman" w:hAnsi="Times New Roman" w:cs="Times New Roman"/>
          <w:lang w:val="fr-FR"/>
        </w:rPr>
        <w:t>  </w:t>
      </w:r>
    </w:p>
    <w:p w:rsidR="00D553F8" w:rsidRDefault="003461E1">
      <w:pPr>
        <w:pStyle w:val="Paragraphedeliste"/>
        <w:numPr>
          <w:ilvl w:val="0"/>
          <w:numId w:val="2"/>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Objectif </w:t>
      </w:r>
      <w:proofErr w:type="gramStart"/>
      <w:r>
        <w:rPr>
          <w:rFonts w:ascii="Times New Roman" w:eastAsia="Times New Roman" w:hAnsi="Times New Roman" w:cs="Times New Roman"/>
          <w:lang w:val="fr-FR"/>
        </w:rPr>
        <w:t>3:</w:t>
      </w:r>
      <w:proofErr w:type="gramEnd"/>
      <w:r>
        <w:rPr>
          <w:rFonts w:ascii="Times New Roman" w:eastAsia="Times New Roman" w:hAnsi="Times New Roman" w:cs="Times New Roman"/>
          <w:lang w:val="fr-FR"/>
        </w:rPr>
        <w:t xml:space="preserve"> Développer et renforcer les organisations et les réseaux au service des jeunes.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Reconnaissant que les facteurs de risque et de vulnérabilité </w:t>
      </w:r>
      <w:r>
        <w:rPr>
          <w:rFonts w:ascii="Times New Roman" w:eastAsia="Times New Roman" w:hAnsi="Times New Roman" w:cs="Times New Roman"/>
          <w:sz w:val="22"/>
          <w:szCs w:val="22"/>
          <w:u w:val="single"/>
          <w:lang w:val="fr-FR"/>
        </w:rPr>
        <w:t>soi</w:t>
      </w:r>
      <w:r>
        <w:rPr>
          <w:rFonts w:ascii="Times New Roman" w:eastAsia="Times New Roman" w:hAnsi="Times New Roman" w:cs="Times New Roman"/>
          <w:sz w:val="22"/>
          <w:szCs w:val="22"/>
          <w:u w:val="single"/>
          <w:lang w:val="fr-FR"/>
        </w:rPr>
        <w:t>ent</w:t>
      </w:r>
      <w:r>
        <w:rPr>
          <w:rFonts w:ascii="Times New Roman" w:eastAsia="Times New Roman" w:hAnsi="Times New Roman" w:cs="Times New Roman"/>
          <w:sz w:val="22"/>
          <w:szCs w:val="22"/>
          <w:lang w:val="fr-FR"/>
        </w:rPr>
        <w:t xml:space="preserve"> multidimensionnels, </w:t>
      </w:r>
      <w:proofErr w:type="spellStart"/>
      <w:r>
        <w:rPr>
          <w:rFonts w:ascii="Times New Roman" w:eastAsia="Times New Roman" w:hAnsi="Times New Roman" w:cs="Times New Roman"/>
          <w:sz w:val="22"/>
          <w:szCs w:val="22"/>
          <w:lang w:val="fr-FR"/>
        </w:rPr>
        <w:t>Nafoore</w:t>
      </w:r>
      <w:proofErr w:type="spellEnd"/>
      <w:r>
        <w:rPr>
          <w:rFonts w:ascii="Times New Roman" w:eastAsia="Times New Roman" w:hAnsi="Times New Roman" w:cs="Times New Roman"/>
          <w:sz w:val="22"/>
          <w:szCs w:val="22"/>
          <w:lang w:val="fr-FR"/>
        </w:rPr>
        <w:t xml:space="preserve"> adopte une approche de cohorte d'apprentissage par les pairs, en veillant à ce que les jeunes participants renforcent </w:t>
      </w:r>
      <w:proofErr w:type="gramStart"/>
      <w:r>
        <w:rPr>
          <w:rFonts w:ascii="Times New Roman" w:eastAsia="Times New Roman" w:hAnsi="Times New Roman" w:cs="Times New Roman"/>
          <w:sz w:val="22"/>
          <w:szCs w:val="22"/>
          <w:lang w:val="fr-FR"/>
        </w:rPr>
        <w:t>plusieurs</w:t>
      </w:r>
      <w:proofErr w:type="gramEnd"/>
      <w:r>
        <w:rPr>
          <w:rFonts w:ascii="Times New Roman" w:eastAsia="Times New Roman" w:hAnsi="Times New Roman" w:cs="Times New Roman"/>
          <w:sz w:val="22"/>
          <w:szCs w:val="22"/>
          <w:lang w:val="fr-FR"/>
        </w:rPr>
        <w:t xml:space="preserve"> dimensions clés de la résilience à travers les domaines d'objectifs. Chaque cohorte progressera </w:t>
      </w:r>
      <w:r>
        <w:rPr>
          <w:rFonts w:ascii="Times New Roman" w:eastAsia="Times New Roman" w:hAnsi="Times New Roman" w:cs="Times New Roman"/>
          <w:sz w:val="22"/>
          <w:szCs w:val="22"/>
          <w:lang w:val="fr-FR"/>
        </w:rPr>
        <w:t>à travers une série de modules et d'activités, y compris la formation et le renforcement des capacités, et des opportunités pratiques pour mettre en pratique les compétences nouvellement acquises. Le programme de la cohorte est séquencé de manière à garant</w:t>
      </w:r>
      <w:r>
        <w:rPr>
          <w:rFonts w:ascii="Times New Roman" w:eastAsia="Times New Roman" w:hAnsi="Times New Roman" w:cs="Times New Roman"/>
          <w:sz w:val="22"/>
          <w:szCs w:val="22"/>
          <w:lang w:val="fr-FR"/>
        </w:rPr>
        <w:t>ir le renforcement des capacités fondamentales avant de compléter les modules sur la gestion des conflits, l'engagement civique et l'agence, et enfin de se lancer dans les voies économiques. En outre, au sein de chaque module, et par le biais d'activités p</w:t>
      </w:r>
      <w:r>
        <w:rPr>
          <w:rFonts w:ascii="Times New Roman" w:eastAsia="Times New Roman" w:hAnsi="Times New Roman" w:cs="Times New Roman"/>
          <w:sz w:val="22"/>
          <w:szCs w:val="22"/>
          <w:lang w:val="fr-FR"/>
        </w:rPr>
        <w:t>ermanentes au centre de jeunesse, le programme a été conçu pour aborder de manière sensible les divisions sociales et accroître la cohésion et l'action des jeunes.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color w:val="000000" w:themeColor="text1"/>
          <w:sz w:val="22"/>
          <w:szCs w:val="22"/>
          <w:lang w:val="fr-FR"/>
        </w:rPr>
        <w:t xml:space="preserve">Mercy Corps et </w:t>
      </w:r>
      <w:proofErr w:type="spellStart"/>
      <w:r>
        <w:rPr>
          <w:rFonts w:ascii="Times New Roman" w:eastAsia="Times New Roman" w:hAnsi="Times New Roman" w:cs="Times New Roman"/>
          <w:color w:val="000000" w:themeColor="text1"/>
          <w:sz w:val="22"/>
          <w:szCs w:val="22"/>
          <w:lang w:val="fr-FR"/>
        </w:rPr>
        <w:t>Counterpart</w:t>
      </w:r>
      <w:proofErr w:type="spellEnd"/>
      <w:r>
        <w:rPr>
          <w:rFonts w:ascii="Times New Roman" w:eastAsia="Times New Roman" w:hAnsi="Times New Roman" w:cs="Times New Roman"/>
          <w:color w:val="000000" w:themeColor="text1"/>
          <w:sz w:val="22"/>
          <w:szCs w:val="22"/>
          <w:lang w:val="fr-FR"/>
        </w:rPr>
        <w:t xml:space="preserve"> International, partenaire du consortium, collaborent avec </w:t>
      </w:r>
      <w:proofErr w:type="spellStart"/>
      <w:r>
        <w:rPr>
          <w:rFonts w:ascii="Times New Roman" w:eastAsia="Times New Roman" w:hAnsi="Times New Roman" w:cs="Times New Roman"/>
          <w:color w:val="000000" w:themeColor="text1"/>
          <w:sz w:val="22"/>
          <w:szCs w:val="22"/>
          <w:lang w:val="fr-FR"/>
        </w:rPr>
        <w:t>Ecod</w:t>
      </w:r>
      <w:r>
        <w:rPr>
          <w:rFonts w:ascii="Times New Roman" w:eastAsia="Times New Roman" w:hAnsi="Times New Roman" w:cs="Times New Roman"/>
          <w:color w:val="000000" w:themeColor="text1"/>
          <w:sz w:val="22"/>
          <w:szCs w:val="22"/>
          <w:lang w:val="fr-FR"/>
        </w:rPr>
        <w:t>ev</w:t>
      </w:r>
      <w:proofErr w:type="spellEnd"/>
      <w:r>
        <w:rPr>
          <w:rFonts w:ascii="Times New Roman" w:eastAsia="Times New Roman" w:hAnsi="Times New Roman" w:cs="Times New Roman"/>
          <w:color w:val="000000" w:themeColor="text1"/>
          <w:sz w:val="22"/>
          <w:szCs w:val="22"/>
          <w:lang w:val="fr-FR"/>
        </w:rPr>
        <w:t xml:space="preserve">, sous-contractant, pour mettre en œuvre </w:t>
      </w:r>
      <w:proofErr w:type="spellStart"/>
      <w:r>
        <w:rPr>
          <w:rFonts w:ascii="Times New Roman" w:eastAsia="Times New Roman" w:hAnsi="Times New Roman" w:cs="Times New Roman"/>
          <w:color w:val="000000" w:themeColor="text1"/>
          <w:sz w:val="22"/>
          <w:szCs w:val="22"/>
          <w:lang w:val="fr-FR"/>
        </w:rPr>
        <w:t>Nafoore</w:t>
      </w:r>
      <w:proofErr w:type="spellEnd"/>
      <w:r>
        <w:rPr>
          <w:rFonts w:ascii="Times New Roman" w:eastAsia="Times New Roman" w:hAnsi="Times New Roman" w:cs="Times New Roman"/>
          <w:color w:val="000000" w:themeColor="text1"/>
          <w:sz w:val="22"/>
          <w:szCs w:val="22"/>
          <w:lang w:val="fr-FR"/>
        </w:rPr>
        <w:t xml:space="preserve"> dans quatre Wilayas. Dans chaque Wilaya, </w:t>
      </w:r>
      <w:proofErr w:type="spellStart"/>
      <w:r>
        <w:rPr>
          <w:rFonts w:ascii="Times New Roman" w:eastAsia="Times New Roman" w:hAnsi="Times New Roman" w:cs="Times New Roman"/>
          <w:color w:val="000000" w:themeColor="text1"/>
          <w:sz w:val="22"/>
          <w:szCs w:val="22"/>
          <w:lang w:val="fr-FR"/>
        </w:rPr>
        <w:t>Nafoore</w:t>
      </w:r>
      <w:proofErr w:type="spellEnd"/>
      <w:r>
        <w:rPr>
          <w:rFonts w:ascii="Times New Roman" w:eastAsia="Times New Roman" w:hAnsi="Times New Roman" w:cs="Times New Roman"/>
          <w:color w:val="000000" w:themeColor="text1"/>
          <w:sz w:val="22"/>
          <w:szCs w:val="22"/>
          <w:lang w:val="fr-FR"/>
        </w:rPr>
        <w:t xml:space="preserve"> cible des </w:t>
      </w:r>
      <w:proofErr w:type="spellStart"/>
      <w:r>
        <w:rPr>
          <w:rFonts w:ascii="Times New Roman" w:eastAsia="Times New Roman" w:hAnsi="Times New Roman" w:cs="Times New Roman"/>
          <w:color w:val="000000" w:themeColor="text1"/>
          <w:sz w:val="22"/>
          <w:szCs w:val="22"/>
          <w:lang w:val="fr-FR"/>
        </w:rPr>
        <w:t>Moughata</w:t>
      </w:r>
      <w:proofErr w:type="spellEnd"/>
      <w:r>
        <w:rPr>
          <w:rFonts w:ascii="Times New Roman" w:eastAsia="Times New Roman" w:hAnsi="Times New Roman" w:cs="Times New Roman"/>
          <w:color w:val="000000" w:themeColor="text1"/>
          <w:sz w:val="22"/>
          <w:szCs w:val="22"/>
          <w:lang w:val="fr-FR"/>
        </w:rPr>
        <w:t xml:space="preserve"> spécifiques et met en place un réseau (le Réseau </w:t>
      </w:r>
      <w:proofErr w:type="spellStart"/>
      <w:r>
        <w:rPr>
          <w:rFonts w:ascii="Times New Roman" w:eastAsia="Times New Roman" w:hAnsi="Times New Roman" w:cs="Times New Roman"/>
          <w:color w:val="000000" w:themeColor="text1"/>
          <w:sz w:val="22"/>
          <w:szCs w:val="22"/>
          <w:lang w:val="fr-FR"/>
        </w:rPr>
        <w:t>Nafoore</w:t>
      </w:r>
      <w:proofErr w:type="spellEnd"/>
      <w:r>
        <w:rPr>
          <w:rFonts w:ascii="Times New Roman" w:eastAsia="Times New Roman" w:hAnsi="Times New Roman" w:cs="Times New Roman"/>
          <w:color w:val="000000" w:themeColor="text1"/>
          <w:sz w:val="22"/>
          <w:szCs w:val="22"/>
          <w:lang w:val="fr-FR"/>
        </w:rPr>
        <w:t>) d'organisations locales au service de la jeunesse (</w:t>
      </w:r>
      <w:proofErr w:type="spellStart"/>
      <w:r>
        <w:rPr>
          <w:rFonts w:ascii="Times New Roman" w:eastAsia="Times New Roman" w:hAnsi="Times New Roman" w:cs="Times New Roman"/>
          <w:color w:val="000000" w:themeColor="text1"/>
          <w:sz w:val="22"/>
          <w:szCs w:val="22"/>
          <w:lang w:val="fr-FR"/>
        </w:rPr>
        <w:t>OSJs</w:t>
      </w:r>
      <w:proofErr w:type="spellEnd"/>
      <w:r>
        <w:rPr>
          <w:rFonts w:ascii="Times New Roman" w:eastAsia="Times New Roman" w:hAnsi="Times New Roman" w:cs="Times New Roman"/>
          <w:color w:val="000000" w:themeColor="text1"/>
          <w:sz w:val="22"/>
          <w:szCs w:val="22"/>
          <w:lang w:val="fr-FR"/>
        </w:rPr>
        <w:t xml:space="preserve">, en anglais </w:t>
      </w:r>
      <w:proofErr w:type="spellStart"/>
      <w:r>
        <w:rPr>
          <w:rFonts w:ascii="Times New Roman" w:eastAsia="Times New Roman" w:hAnsi="Times New Roman" w:cs="Times New Roman"/>
          <w:color w:val="000000" w:themeColor="text1"/>
          <w:sz w:val="22"/>
          <w:szCs w:val="22"/>
          <w:lang w:val="fr-FR"/>
        </w:rPr>
        <w:t>Youth-Servi</w:t>
      </w:r>
      <w:r>
        <w:rPr>
          <w:rFonts w:ascii="Times New Roman" w:eastAsia="Times New Roman" w:hAnsi="Times New Roman" w:cs="Times New Roman"/>
          <w:color w:val="000000" w:themeColor="text1"/>
          <w:sz w:val="22"/>
          <w:szCs w:val="22"/>
          <w:lang w:val="fr-FR"/>
        </w:rPr>
        <w:t>ng</w:t>
      </w:r>
      <w:proofErr w:type="spellEnd"/>
      <w:r>
        <w:rPr>
          <w:rFonts w:ascii="Times New Roman" w:eastAsia="Times New Roman" w:hAnsi="Times New Roman" w:cs="Times New Roman"/>
          <w:color w:val="000000" w:themeColor="text1"/>
          <w:sz w:val="22"/>
          <w:szCs w:val="22"/>
          <w:lang w:val="fr-FR"/>
        </w:rPr>
        <w:t xml:space="preserve"> Organisations (YSO)) - composées de centres de jeunesse/maisons des jeunes, d'associations, d'organisations de la société civile (</w:t>
      </w:r>
      <w:proofErr w:type="spellStart"/>
      <w:r>
        <w:rPr>
          <w:rFonts w:ascii="Times New Roman" w:eastAsia="Times New Roman" w:hAnsi="Times New Roman" w:cs="Times New Roman"/>
          <w:color w:val="000000" w:themeColor="text1"/>
          <w:sz w:val="22"/>
          <w:szCs w:val="22"/>
          <w:lang w:val="fr-FR"/>
        </w:rPr>
        <w:t>OSCs</w:t>
      </w:r>
      <w:proofErr w:type="spellEnd"/>
      <w:r>
        <w:rPr>
          <w:rFonts w:ascii="Times New Roman" w:eastAsia="Times New Roman" w:hAnsi="Times New Roman" w:cs="Times New Roman"/>
          <w:color w:val="000000" w:themeColor="text1"/>
          <w:sz w:val="22"/>
          <w:szCs w:val="22"/>
          <w:lang w:val="fr-FR"/>
        </w:rPr>
        <w:t>), d'organisations communautaires de base (</w:t>
      </w:r>
      <w:proofErr w:type="spellStart"/>
      <w:r>
        <w:rPr>
          <w:rFonts w:ascii="Times New Roman" w:eastAsia="Times New Roman" w:hAnsi="Times New Roman" w:cs="Times New Roman"/>
          <w:color w:val="000000" w:themeColor="text1"/>
          <w:sz w:val="22"/>
          <w:szCs w:val="22"/>
          <w:lang w:val="fr-FR"/>
        </w:rPr>
        <w:t>OCBs</w:t>
      </w:r>
      <w:proofErr w:type="spellEnd"/>
      <w:r>
        <w:rPr>
          <w:rFonts w:ascii="Times New Roman" w:eastAsia="Times New Roman" w:hAnsi="Times New Roman" w:cs="Times New Roman"/>
          <w:color w:val="000000" w:themeColor="text1"/>
          <w:sz w:val="22"/>
          <w:szCs w:val="22"/>
          <w:lang w:val="fr-FR"/>
        </w:rPr>
        <w:t xml:space="preserve">) et autres - afin de renforcer durablement les capacités et d'intégrer </w:t>
      </w:r>
      <w:r>
        <w:rPr>
          <w:rFonts w:ascii="Times New Roman" w:eastAsia="Times New Roman" w:hAnsi="Times New Roman" w:cs="Times New Roman"/>
          <w:color w:val="000000" w:themeColor="text1"/>
          <w:sz w:val="22"/>
          <w:szCs w:val="22"/>
          <w:lang w:val="fr-FR"/>
        </w:rPr>
        <w:t xml:space="preserve">des compétences et des capacités clés accessibles au niveau local pour les jeunes. Dans chaque site d'intervention, le réseau </w:t>
      </w:r>
      <w:proofErr w:type="spellStart"/>
      <w:r>
        <w:rPr>
          <w:rFonts w:ascii="Times New Roman" w:eastAsia="Times New Roman" w:hAnsi="Times New Roman" w:cs="Times New Roman"/>
          <w:color w:val="000000" w:themeColor="text1"/>
          <w:sz w:val="22"/>
          <w:szCs w:val="22"/>
          <w:lang w:val="fr-FR"/>
        </w:rPr>
        <w:t>Nafoore</w:t>
      </w:r>
      <w:proofErr w:type="spellEnd"/>
      <w:r>
        <w:rPr>
          <w:rFonts w:ascii="Times New Roman" w:eastAsia="Times New Roman" w:hAnsi="Times New Roman" w:cs="Times New Roman"/>
          <w:color w:val="000000" w:themeColor="text1"/>
          <w:sz w:val="22"/>
          <w:szCs w:val="22"/>
          <w:lang w:val="fr-FR"/>
        </w:rPr>
        <w:t xml:space="preserve"> est constitué d'un hub et de trois organisations au service de la jeunesse spécialisées dans les composantes clés du proje</w:t>
      </w:r>
      <w:r>
        <w:rPr>
          <w:rFonts w:ascii="Times New Roman" w:eastAsia="Times New Roman" w:hAnsi="Times New Roman" w:cs="Times New Roman"/>
          <w:color w:val="000000" w:themeColor="text1"/>
          <w:sz w:val="22"/>
          <w:szCs w:val="22"/>
          <w:lang w:val="fr-FR"/>
        </w:rPr>
        <w:t xml:space="preserve">t. Un des volets du programme est d’apporter un soutien au développement des capacités organisationnelles de ces </w:t>
      </w:r>
      <w:proofErr w:type="spellStart"/>
      <w:r>
        <w:rPr>
          <w:rFonts w:ascii="Times New Roman" w:eastAsia="Times New Roman" w:hAnsi="Times New Roman" w:cs="Times New Roman"/>
          <w:color w:val="000000" w:themeColor="text1"/>
          <w:sz w:val="22"/>
          <w:szCs w:val="22"/>
          <w:lang w:val="fr-FR"/>
        </w:rPr>
        <w:t>OSCs</w:t>
      </w:r>
      <w:proofErr w:type="spellEnd"/>
      <w:r>
        <w:rPr>
          <w:rFonts w:ascii="Times New Roman" w:eastAsia="Times New Roman" w:hAnsi="Times New Roman" w:cs="Times New Roman"/>
          <w:color w:val="000000" w:themeColor="text1"/>
          <w:sz w:val="22"/>
          <w:szCs w:val="22"/>
          <w:lang w:val="fr-FR"/>
        </w:rPr>
        <w:t xml:space="preserve"> membres du réseau </w:t>
      </w:r>
      <w:proofErr w:type="spellStart"/>
      <w:r>
        <w:rPr>
          <w:rFonts w:ascii="Times New Roman" w:eastAsia="Times New Roman" w:hAnsi="Times New Roman" w:cs="Times New Roman"/>
          <w:color w:val="000000" w:themeColor="text1"/>
          <w:sz w:val="22"/>
          <w:szCs w:val="22"/>
          <w:lang w:val="fr-FR"/>
        </w:rPr>
        <w:t>Nafoore</w:t>
      </w:r>
      <w:proofErr w:type="spellEnd"/>
      <w:r>
        <w:rPr>
          <w:rFonts w:ascii="Times New Roman" w:eastAsia="Times New Roman" w:hAnsi="Times New Roman" w:cs="Times New Roman"/>
          <w:color w:val="000000" w:themeColor="text1"/>
          <w:sz w:val="22"/>
          <w:szCs w:val="22"/>
          <w:lang w:val="fr-FR"/>
        </w:rPr>
        <w:t>.</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rPr>
          <w:rFonts w:ascii="Times New Roman" w:eastAsia="Arial" w:hAnsi="Times New Roman" w:cs="Times New Roman"/>
          <w:sz w:val="22"/>
          <w:szCs w:val="22"/>
          <w:lang w:val="fr-FR"/>
        </w:rPr>
      </w:pPr>
      <w:r>
        <w:rPr>
          <w:rFonts w:ascii="Times New Roman" w:eastAsia="Arial" w:hAnsi="Times New Roman" w:cs="Times New Roman"/>
          <w:b/>
          <w:bCs/>
          <w:sz w:val="22"/>
          <w:szCs w:val="22"/>
          <w:lang w:val="fr-FR"/>
        </w:rPr>
        <w:t>Objectifs de la consultance </w:t>
      </w:r>
    </w:p>
    <w:p w:rsidR="00D553F8" w:rsidRDefault="003461E1">
      <w:pPr>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color w:val="000000" w:themeColor="text1"/>
          <w:sz w:val="22"/>
          <w:szCs w:val="22"/>
          <w:lang w:val="fr-FR"/>
        </w:rPr>
        <w:t xml:space="preserve">Sur la base de l’évaluation des capacités déjà effectuée, cette consultance vise </w:t>
      </w:r>
      <w:r>
        <w:rPr>
          <w:rFonts w:ascii="Times New Roman" w:eastAsia="Times New Roman" w:hAnsi="Times New Roman" w:cs="Times New Roman"/>
          <w:color w:val="000000" w:themeColor="text1"/>
          <w:sz w:val="22"/>
          <w:szCs w:val="22"/>
          <w:lang w:val="fr-FR"/>
        </w:rPr>
        <w:t xml:space="preserve">à fournir un accompagnement technique et pratique à au moins neuf </w:t>
      </w:r>
      <w:proofErr w:type="spellStart"/>
      <w:r>
        <w:rPr>
          <w:rFonts w:ascii="Times New Roman" w:eastAsia="Times New Roman" w:hAnsi="Times New Roman" w:cs="Times New Roman"/>
          <w:color w:val="000000" w:themeColor="text1"/>
          <w:sz w:val="22"/>
          <w:szCs w:val="22"/>
          <w:lang w:val="fr-FR"/>
        </w:rPr>
        <w:t>OSCs</w:t>
      </w:r>
      <w:proofErr w:type="spellEnd"/>
      <w:r>
        <w:rPr>
          <w:rFonts w:ascii="Times New Roman" w:eastAsia="Times New Roman" w:hAnsi="Times New Roman" w:cs="Times New Roman"/>
          <w:color w:val="000000" w:themeColor="text1"/>
          <w:sz w:val="22"/>
          <w:szCs w:val="22"/>
          <w:lang w:val="fr-FR"/>
        </w:rPr>
        <w:t xml:space="preserve"> locales, membres du réseau </w:t>
      </w:r>
      <w:proofErr w:type="spellStart"/>
      <w:r>
        <w:rPr>
          <w:rFonts w:ascii="Times New Roman" w:eastAsia="Times New Roman" w:hAnsi="Times New Roman" w:cs="Times New Roman"/>
          <w:color w:val="000000" w:themeColor="text1"/>
          <w:sz w:val="22"/>
          <w:szCs w:val="22"/>
          <w:lang w:val="fr-FR"/>
        </w:rPr>
        <w:t>Nafoore</w:t>
      </w:r>
      <w:proofErr w:type="spellEnd"/>
      <w:r>
        <w:rPr>
          <w:rFonts w:ascii="Times New Roman" w:eastAsia="Times New Roman" w:hAnsi="Times New Roman" w:cs="Times New Roman"/>
          <w:color w:val="000000" w:themeColor="text1"/>
          <w:sz w:val="22"/>
          <w:szCs w:val="22"/>
          <w:lang w:val="fr-FR"/>
        </w:rPr>
        <w:t xml:space="preserve"> afin d’améliorer leurs capacités organisationnelles.</w:t>
      </w:r>
    </w:p>
    <w:p w:rsidR="00D553F8" w:rsidRDefault="003461E1">
      <w:pPr>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color w:val="000000" w:themeColor="text1"/>
          <w:sz w:val="22"/>
          <w:szCs w:val="22"/>
          <w:lang w:val="fr-FR"/>
        </w:rPr>
        <w:t>La consultance est organisée en vue d’atteindre les objectifs spécifiques suivants :</w:t>
      </w:r>
    </w:p>
    <w:p w:rsidR="00D553F8" w:rsidRDefault="003461E1">
      <w:pPr>
        <w:pStyle w:val="Paragraphedeliste"/>
        <w:numPr>
          <w:ilvl w:val="0"/>
          <w:numId w:val="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Développer </w:t>
      </w:r>
      <w:r>
        <w:rPr>
          <w:rFonts w:ascii="Times New Roman" w:eastAsia="Times New Roman" w:hAnsi="Times New Roman" w:cs="Times New Roman"/>
          <w:color w:val="000000" w:themeColor="text1"/>
          <w:lang w:val="fr-FR"/>
        </w:rPr>
        <w:t>et proposer une approche, un curriculum, plan, fiche technique et outils de renforcement de capacités organisationnelles et d’évaluation des compétences et connaissances acquise pour chacune des thématiques et/ou modules ci-dessous.</w:t>
      </w:r>
    </w:p>
    <w:p w:rsidR="00D553F8" w:rsidRDefault="003461E1">
      <w:pPr>
        <w:pStyle w:val="Paragraphedeliste"/>
        <w:numPr>
          <w:ilvl w:val="0"/>
          <w:numId w:val="4"/>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Travailler directement </w:t>
      </w:r>
      <w:r>
        <w:rPr>
          <w:rFonts w:ascii="Times New Roman" w:eastAsia="Times New Roman" w:hAnsi="Times New Roman" w:cs="Times New Roman"/>
          <w:color w:val="000000" w:themeColor="text1"/>
          <w:lang w:val="fr-FR"/>
        </w:rPr>
        <w:t xml:space="preserve">avec 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pour renforcer leurs capacités comme suit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Travailler à impulser une nouvelle dynamique transformationnelle aux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(identité, statut, vision, mission, contrôle interne, etc.)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Améliorer les capacités des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sur les techniques de </w:t>
      </w:r>
      <w:r>
        <w:rPr>
          <w:rFonts w:ascii="Times New Roman" w:eastAsia="Times New Roman" w:hAnsi="Times New Roman" w:cs="Times New Roman"/>
          <w:color w:val="000000" w:themeColor="text1"/>
          <w:lang w:val="fr-FR"/>
        </w:rPr>
        <w:t>planification stratégique et les appuyer à développer leur mission et vision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Améliorer leurs compétences en matière de gestion de leur organisation et de gestion de projets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Aider 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à développer leur manuel de gestion et de procédure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Renforcer </w:t>
      </w:r>
      <w:r>
        <w:rPr>
          <w:rFonts w:ascii="Times New Roman" w:eastAsia="Times New Roman" w:hAnsi="Times New Roman" w:cs="Times New Roman"/>
          <w:color w:val="000000" w:themeColor="text1"/>
          <w:lang w:val="fr-FR"/>
        </w:rPr>
        <w:t xml:space="preserve">les capacités des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sur les techniques et stratégies de mobilisation des ressources ;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Renforcer les capacités des membres sur les techniques et outils de gestion financière et administratives, y compris la gestion des subventions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Renforcer les capaci</w:t>
      </w:r>
      <w:r>
        <w:rPr>
          <w:rFonts w:ascii="Times New Roman" w:eastAsia="Times New Roman" w:hAnsi="Times New Roman" w:cs="Times New Roman"/>
          <w:color w:val="000000" w:themeColor="text1"/>
          <w:lang w:val="fr-FR"/>
        </w:rPr>
        <w:t xml:space="preserve">tés des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sur le développement et mise œuvre d’un plan de plaidoyer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Outiller 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à développer des plans de communication stratégiques adaptés aux jeunes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Outiller les OSJ en techniques de rapportage et archivage ;</w:t>
      </w:r>
    </w:p>
    <w:p w:rsidR="00D553F8" w:rsidRDefault="003461E1">
      <w:pPr>
        <w:ind w:left="180"/>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w:t>
      </w:r>
    </w:p>
    <w:p w:rsidR="00D553F8" w:rsidRDefault="003461E1">
      <w:pPr>
        <w:ind w:left="180"/>
        <w:contextualSpacing/>
        <w:rPr>
          <w:rFonts w:ascii="Times New Roman" w:eastAsia="Arial" w:hAnsi="Times New Roman" w:cs="Times New Roman"/>
          <w:sz w:val="22"/>
          <w:szCs w:val="22"/>
          <w:lang w:val="fr-FR"/>
        </w:rPr>
      </w:pPr>
      <w:r>
        <w:rPr>
          <w:rFonts w:ascii="Times New Roman" w:eastAsia="Arial" w:hAnsi="Times New Roman" w:cs="Times New Roman"/>
          <w:b/>
          <w:bCs/>
          <w:sz w:val="22"/>
          <w:szCs w:val="22"/>
          <w:lang w:val="fr-FR"/>
        </w:rPr>
        <w:t xml:space="preserve">Résultats de la consultance </w:t>
      </w:r>
    </w:p>
    <w:p w:rsidR="00D553F8" w:rsidRDefault="003461E1">
      <w:pPr>
        <w:ind w:left="180"/>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color w:val="000000" w:themeColor="text1"/>
          <w:sz w:val="22"/>
          <w:szCs w:val="22"/>
          <w:lang w:val="fr-FR"/>
        </w:rPr>
        <w:t>L</w:t>
      </w:r>
      <w:r>
        <w:rPr>
          <w:rFonts w:ascii="Times New Roman" w:eastAsia="Times New Roman" w:hAnsi="Times New Roman" w:cs="Times New Roman"/>
          <w:color w:val="000000" w:themeColor="text1"/>
          <w:sz w:val="22"/>
          <w:szCs w:val="22"/>
          <w:lang w:val="fr-FR"/>
        </w:rPr>
        <w:t>es résultats suivants sont attendus au terme de cette consultance :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cibles mettent en place toutes les structures pertinentes pour un meilleur fonctionnement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définissent une orientation claire y compris leur mission, vision, identité </w:t>
      </w:r>
      <w:r>
        <w:rPr>
          <w:rFonts w:ascii="Times New Roman" w:eastAsia="Times New Roman" w:hAnsi="Times New Roman" w:cs="Times New Roman"/>
          <w:color w:val="000000" w:themeColor="text1"/>
          <w:lang w:val="fr-FR"/>
        </w:rPr>
        <w:t>et les mécanismes de contrôle interne avec le soutien du ou des consultants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sont capables de développer leur plan stratégique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ont une bonne connaissance des techniques de gestion d’une organisation et de projets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disposent d</w:t>
      </w:r>
      <w:r>
        <w:rPr>
          <w:rFonts w:ascii="Times New Roman" w:eastAsia="Times New Roman" w:hAnsi="Times New Roman" w:cs="Times New Roman"/>
          <w:color w:val="000000" w:themeColor="text1"/>
          <w:lang w:val="fr-FR"/>
        </w:rPr>
        <w:t>’un manuel de procédure et de contrôle interne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maitrisent les techniques et sont capables de mobiliser des ressources auprès de divers partenaires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gèrent de façon appropriée les subventions sur la base des outils appropriés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sont capables de développer et mettre en œuvre leur plan de plaidoyer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lastRenderedPageBreak/>
        <w:t xml:space="preserve">Les </w:t>
      </w:r>
      <w:proofErr w:type="spellStart"/>
      <w:r>
        <w:rPr>
          <w:rFonts w:ascii="Times New Roman" w:eastAsia="Times New Roman" w:hAnsi="Times New Roman" w:cs="Times New Roman"/>
          <w:color w:val="000000" w:themeColor="text1"/>
          <w:lang w:val="fr-FR"/>
        </w:rPr>
        <w:t>OSJs</w:t>
      </w:r>
      <w:proofErr w:type="spellEnd"/>
      <w:r>
        <w:rPr>
          <w:rFonts w:ascii="Times New Roman" w:eastAsia="Times New Roman" w:hAnsi="Times New Roman" w:cs="Times New Roman"/>
          <w:color w:val="000000" w:themeColor="text1"/>
          <w:lang w:val="fr-FR"/>
        </w:rPr>
        <w:t xml:space="preserve"> disposent des compétences pour élaborer leur stratégie et plan de communication.</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 consultant travaillera sous la supervision du </w:t>
      </w:r>
      <w:proofErr w:type="spellStart"/>
      <w:r>
        <w:rPr>
          <w:rFonts w:ascii="Times New Roman" w:eastAsia="Times New Roman" w:hAnsi="Times New Roman" w:cs="Times New Roman"/>
          <w:color w:val="000000" w:themeColor="text1"/>
          <w:lang w:val="fr-FR"/>
        </w:rPr>
        <w:t>Deputy</w:t>
      </w:r>
      <w:proofErr w:type="spellEnd"/>
      <w:r>
        <w:rPr>
          <w:rFonts w:ascii="Times New Roman" w:eastAsia="Times New Roman" w:hAnsi="Times New Roman" w:cs="Times New Roman"/>
          <w:color w:val="000000" w:themeColor="text1"/>
          <w:lang w:val="fr-FR"/>
        </w:rPr>
        <w:t xml:space="preserve"> </w:t>
      </w:r>
      <w:proofErr w:type="spellStart"/>
      <w:r>
        <w:rPr>
          <w:rFonts w:ascii="Times New Roman" w:eastAsia="Times New Roman" w:hAnsi="Times New Roman" w:cs="Times New Roman"/>
          <w:color w:val="000000" w:themeColor="text1"/>
          <w:lang w:val="fr-FR"/>
        </w:rPr>
        <w:t>Chief</w:t>
      </w:r>
      <w:proofErr w:type="spellEnd"/>
      <w:r>
        <w:rPr>
          <w:rFonts w:ascii="Times New Roman" w:eastAsia="Times New Roman" w:hAnsi="Times New Roman" w:cs="Times New Roman"/>
          <w:color w:val="000000" w:themeColor="text1"/>
          <w:lang w:val="fr-FR"/>
        </w:rPr>
        <w:t xml:space="preserve"> of Party (DCOP) de </w:t>
      </w:r>
      <w:proofErr w:type="spellStart"/>
      <w:r>
        <w:rPr>
          <w:rFonts w:ascii="Times New Roman" w:eastAsia="Times New Roman" w:hAnsi="Times New Roman" w:cs="Times New Roman"/>
          <w:color w:val="000000" w:themeColor="text1"/>
          <w:lang w:val="fr-FR"/>
        </w:rPr>
        <w:t>Nafoore</w:t>
      </w:r>
      <w:proofErr w:type="spellEnd"/>
      <w:r>
        <w:rPr>
          <w:rFonts w:ascii="Times New Roman" w:eastAsia="Times New Roman" w:hAnsi="Times New Roman" w:cs="Times New Roman"/>
          <w:color w:val="000000" w:themeColor="text1"/>
          <w:lang w:val="fr-FR"/>
        </w:rPr>
        <w:t xml:space="preserve"> et e</w:t>
      </w:r>
      <w:r>
        <w:rPr>
          <w:rFonts w:ascii="Times New Roman" w:eastAsia="Times New Roman" w:hAnsi="Times New Roman" w:cs="Times New Roman"/>
          <w:color w:val="000000" w:themeColor="text1"/>
          <w:lang w:val="fr-FR"/>
        </w:rPr>
        <w:t xml:space="preserve">n collaboration avec l’équipe programme de </w:t>
      </w:r>
      <w:proofErr w:type="spellStart"/>
      <w:r>
        <w:rPr>
          <w:rFonts w:ascii="Times New Roman" w:eastAsia="Times New Roman" w:hAnsi="Times New Roman" w:cs="Times New Roman"/>
          <w:color w:val="000000" w:themeColor="text1"/>
          <w:lang w:val="fr-FR"/>
        </w:rPr>
        <w:t>Nafoore</w:t>
      </w:r>
      <w:proofErr w:type="spellEnd"/>
      <w:r>
        <w:rPr>
          <w:rFonts w:ascii="Times New Roman" w:eastAsia="Times New Roman" w:hAnsi="Times New Roman" w:cs="Times New Roman"/>
          <w:color w:val="000000" w:themeColor="text1"/>
          <w:lang w:val="fr-FR"/>
        </w:rPr>
        <w:t xml:space="preserve"> ainsi que le personnel de soutien technique du siège de </w:t>
      </w:r>
      <w:proofErr w:type="spellStart"/>
      <w:r>
        <w:rPr>
          <w:rFonts w:ascii="Times New Roman" w:eastAsia="Times New Roman" w:hAnsi="Times New Roman" w:cs="Times New Roman"/>
          <w:color w:val="000000" w:themeColor="text1"/>
          <w:lang w:val="fr-FR"/>
        </w:rPr>
        <w:t>Counterpart</w:t>
      </w:r>
      <w:proofErr w:type="spellEnd"/>
      <w:r>
        <w:rPr>
          <w:rFonts w:ascii="Times New Roman" w:eastAsia="Times New Roman" w:hAnsi="Times New Roman" w:cs="Times New Roman"/>
          <w:color w:val="000000" w:themeColor="text1"/>
          <w:lang w:val="fr-FR"/>
        </w:rPr>
        <w:t xml:space="preserve"> International.</w:t>
      </w:r>
    </w:p>
    <w:p w:rsidR="00D553F8" w:rsidRDefault="00D553F8">
      <w:pPr>
        <w:ind w:left="720"/>
        <w:contextualSpacing/>
        <w:jc w:val="both"/>
        <w:rPr>
          <w:rFonts w:ascii="Times New Roman" w:eastAsia="Times New Roman" w:hAnsi="Times New Roman" w:cs="Times New Roman"/>
          <w:sz w:val="22"/>
          <w:szCs w:val="22"/>
          <w:lang w:val="fr-FR"/>
        </w:rPr>
      </w:pPr>
    </w:p>
    <w:p w:rsidR="00D553F8" w:rsidRDefault="003461E1">
      <w:pPr>
        <w:ind w:left="180"/>
        <w:contextualSpacing/>
        <w:rPr>
          <w:rFonts w:ascii="Times New Roman" w:eastAsia="Arial" w:hAnsi="Times New Roman" w:cs="Times New Roman"/>
          <w:sz w:val="22"/>
          <w:szCs w:val="22"/>
          <w:lang w:val="fr-FR"/>
        </w:rPr>
      </w:pPr>
      <w:r>
        <w:rPr>
          <w:rFonts w:ascii="Times New Roman" w:eastAsia="Arial" w:hAnsi="Times New Roman" w:cs="Times New Roman"/>
          <w:b/>
          <w:bCs/>
          <w:sz w:val="22"/>
          <w:szCs w:val="22"/>
          <w:lang w:val="fr-FR"/>
        </w:rPr>
        <w:t>Calendrier   </w:t>
      </w:r>
    </w:p>
    <w:p w:rsidR="00D553F8" w:rsidRDefault="003461E1">
      <w:pPr>
        <w:ind w:right="-45"/>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color w:val="000000" w:themeColor="text1"/>
          <w:sz w:val="22"/>
          <w:szCs w:val="22"/>
          <w:lang w:val="fr-FR"/>
        </w:rPr>
        <w:t>La consultance se déroulera sur une durée allant jusqu'à et pas plus de 120 jours de travail non consécutif</w:t>
      </w:r>
      <w:r>
        <w:rPr>
          <w:rFonts w:ascii="Times New Roman" w:eastAsia="Times New Roman" w:hAnsi="Times New Roman" w:cs="Times New Roman"/>
          <w:color w:val="000000" w:themeColor="text1"/>
          <w:sz w:val="22"/>
          <w:szCs w:val="22"/>
          <w:lang w:val="fr-FR"/>
        </w:rPr>
        <w:t xml:space="preserve"> sur la période de septembre à décembre 2024. Un chronogramme sera conçu en accord avec </w:t>
      </w:r>
      <w:proofErr w:type="spellStart"/>
      <w:r>
        <w:rPr>
          <w:rFonts w:ascii="Times New Roman" w:eastAsia="Times New Roman" w:hAnsi="Times New Roman" w:cs="Times New Roman"/>
          <w:color w:val="000000" w:themeColor="text1"/>
          <w:sz w:val="22"/>
          <w:szCs w:val="22"/>
          <w:lang w:val="fr-FR"/>
        </w:rPr>
        <w:t>Counterpart</w:t>
      </w:r>
      <w:proofErr w:type="spellEnd"/>
      <w:r>
        <w:rPr>
          <w:rFonts w:ascii="Times New Roman" w:eastAsia="Times New Roman" w:hAnsi="Times New Roman" w:cs="Times New Roman"/>
          <w:color w:val="000000" w:themeColor="text1"/>
          <w:sz w:val="22"/>
          <w:szCs w:val="22"/>
          <w:lang w:val="fr-FR"/>
        </w:rPr>
        <w:t xml:space="preserve"> International au début de la consultance pour établir les activités et délais de soumission des livrables. Une partie de la consultance sera réalisée à dist</w:t>
      </w:r>
      <w:r>
        <w:rPr>
          <w:rFonts w:ascii="Times New Roman" w:eastAsia="Times New Roman" w:hAnsi="Times New Roman" w:cs="Times New Roman"/>
          <w:color w:val="000000" w:themeColor="text1"/>
          <w:sz w:val="22"/>
          <w:szCs w:val="22"/>
          <w:lang w:val="fr-FR"/>
        </w:rPr>
        <w:t xml:space="preserve">ance. Le consultant devra se déplacer pour offrir un appui en présentiel aux </w:t>
      </w:r>
      <w:proofErr w:type="spellStart"/>
      <w:r>
        <w:rPr>
          <w:rFonts w:ascii="Times New Roman" w:eastAsia="Times New Roman" w:hAnsi="Times New Roman" w:cs="Times New Roman"/>
          <w:color w:val="000000" w:themeColor="text1"/>
          <w:sz w:val="22"/>
          <w:szCs w:val="22"/>
          <w:lang w:val="fr-FR"/>
        </w:rPr>
        <w:t>OSJs</w:t>
      </w:r>
      <w:proofErr w:type="spellEnd"/>
      <w:r>
        <w:rPr>
          <w:rFonts w:ascii="Times New Roman" w:eastAsia="Times New Roman" w:hAnsi="Times New Roman" w:cs="Times New Roman"/>
          <w:color w:val="000000" w:themeColor="text1"/>
          <w:sz w:val="22"/>
          <w:szCs w:val="22"/>
          <w:lang w:val="fr-FR"/>
        </w:rPr>
        <w:t xml:space="preserve"> à Nouakchott et à Rosso.</w:t>
      </w:r>
    </w:p>
    <w:p w:rsidR="00D553F8" w:rsidRDefault="00D553F8">
      <w:pPr>
        <w:ind w:left="180" w:right="-45"/>
        <w:contextualSpacing/>
        <w:jc w:val="both"/>
        <w:rPr>
          <w:rFonts w:ascii="Times New Roman" w:eastAsia="Times New Roman" w:hAnsi="Times New Roman" w:cs="Times New Roman"/>
          <w:sz w:val="22"/>
          <w:szCs w:val="22"/>
          <w:lang w:val="fr-FR"/>
        </w:rPr>
      </w:pPr>
    </w:p>
    <w:p w:rsidR="00D553F8" w:rsidRDefault="003461E1">
      <w:pPr>
        <w:ind w:left="180"/>
        <w:contextualSpacing/>
        <w:rPr>
          <w:rFonts w:ascii="Times New Roman" w:eastAsia="Arial" w:hAnsi="Times New Roman" w:cs="Times New Roman"/>
          <w:sz w:val="22"/>
          <w:szCs w:val="22"/>
          <w:lang w:val="fr-FR"/>
        </w:rPr>
      </w:pPr>
      <w:r>
        <w:rPr>
          <w:rFonts w:ascii="Times New Roman" w:eastAsia="Arial" w:hAnsi="Times New Roman" w:cs="Times New Roman"/>
          <w:b/>
          <w:bCs/>
          <w:sz w:val="22"/>
          <w:szCs w:val="22"/>
          <w:lang w:val="fr-FR"/>
        </w:rPr>
        <w:t>Ressources mises à la disposition du consultant </w:t>
      </w:r>
    </w:p>
    <w:p w:rsidR="00D553F8" w:rsidRDefault="003461E1">
      <w:pPr>
        <w:ind w:right="720"/>
        <w:contextualSpacing/>
        <w:jc w:val="both"/>
        <w:rPr>
          <w:rFonts w:ascii="Times New Roman" w:eastAsia="Times New Roman" w:hAnsi="Times New Roman" w:cs="Times New Roman"/>
          <w:color w:val="000000" w:themeColor="text1"/>
          <w:sz w:val="22"/>
          <w:szCs w:val="22"/>
          <w:lang w:val="fr-FR"/>
        </w:rPr>
      </w:pPr>
      <w:proofErr w:type="spellStart"/>
      <w:r>
        <w:rPr>
          <w:rFonts w:ascii="Times New Roman" w:eastAsia="Times New Roman" w:hAnsi="Times New Roman" w:cs="Times New Roman"/>
          <w:color w:val="000000" w:themeColor="text1"/>
          <w:sz w:val="22"/>
          <w:szCs w:val="22"/>
          <w:lang w:val="fr-FR"/>
        </w:rPr>
        <w:t>Counterpart</w:t>
      </w:r>
      <w:proofErr w:type="spellEnd"/>
      <w:r>
        <w:rPr>
          <w:rFonts w:ascii="Times New Roman" w:eastAsia="Times New Roman" w:hAnsi="Times New Roman" w:cs="Times New Roman"/>
          <w:color w:val="000000" w:themeColor="text1"/>
          <w:sz w:val="22"/>
          <w:szCs w:val="22"/>
          <w:lang w:val="fr-FR"/>
        </w:rPr>
        <w:t xml:space="preserve"> mettra à disposition du consultant les ressources suivantes :</w:t>
      </w:r>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documents du projet (</w:t>
      </w:r>
      <w:r>
        <w:rPr>
          <w:rFonts w:ascii="Times New Roman" w:eastAsia="Times New Roman" w:hAnsi="Times New Roman" w:cs="Times New Roman"/>
          <w:color w:val="000000" w:themeColor="text1"/>
          <w:lang w:val="fr-FR"/>
        </w:rPr>
        <w:t>proposition du projet, approche de mise en œuvre et autres).</w:t>
      </w:r>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documents d’évaluation des capacités des </w:t>
      </w:r>
      <w:proofErr w:type="spellStart"/>
      <w:r>
        <w:rPr>
          <w:rFonts w:ascii="Times New Roman" w:eastAsia="Times New Roman" w:hAnsi="Times New Roman" w:cs="Times New Roman"/>
          <w:color w:val="000000" w:themeColor="text1"/>
          <w:lang w:val="fr-FR"/>
        </w:rPr>
        <w:t>OSJs</w:t>
      </w:r>
      <w:proofErr w:type="spellEnd"/>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Les plans de renforcement des capacités des </w:t>
      </w:r>
      <w:proofErr w:type="spellStart"/>
      <w:r>
        <w:rPr>
          <w:rFonts w:ascii="Times New Roman" w:eastAsia="Times New Roman" w:hAnsi="Times New Roman" w:cs="Times New Roman"/>
          <w:color w:val="000000" w:themeColor="text1"/>
          <w:lang w:val="fr-FR"/>
        </w:rPr>
        <w:t>OSJs</w:t>
      </w:r>
      <w:proofErr w:type="spellEnd"/>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rapports des études précédentes (ONA, GESI ...)</w:t>
      </w:r>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outils et guides pertinents développés d</w:t>
      </w:r>
      <w:r>
        <w:rPr>
          <w:rFonts w:ascii="Times New Roman" w:eastAsia="Times New Roman" w:hAnsi="Times New Roman" w:cs="Times New Roman"/>
          <w:color w:val="000000" w:themeColor="text1"/>
          <w:lang w:val="fr-FR"/>
        </w:rPr>
        <w:t xml:space="preserve">ans le cadre du programme </w:t>
      </w:r>
      <w:proofErr w:type="spellStart"/>
      <w:r>
        <w:rPr>
          <w:rFonts w:ascii="Times New Roman" w:eastAsia="Times New Roman" w:hAnsi="Times New Roman" w:cs="Times New Roman"/>
          <w:color w:val="000000" w:themeColor="text1"/>
          <w:lang w:val="fr-FR"/>
        </w:rPr>
        <w:t>Nafoore</w:t>
      </w:r>
      <w:proofErr w:type="spellEnd"/>
    </w:p>
    <w:p w:rsidR="00D553F8" w:rsidRDefault="003461E1">
      <w:pPr>
        <w:pStyle w:val="Titre1"/>
        <w:contextualSpacing/>
        <w:jc w:val="both"/>
        <w:rPr>
          <w:rFonts w:ascii="Times New Roman" w:eastAsia="Times New Roman" w:hAnsi="Times New Roman" w:cs="Times New Roman"/>
          <w:b/>
          <w:bCs/>
          <w:color w:val="auto"/>
          <w:sz w:val="22"/>
          <w:szCs w:val="22"/>
          <w:u w:val="single"/>
          <w:lang w:val="fr-FR"/>
        </w:rPr>
      </w:pPr>
      <w:bookmarkStart w:id="5" w:name="_Toc530736974"/>
      <w:bookmarkStart w:id="6" w:name="_Toc448307062"/>
      <w:r>
        <w:rPr>
          <w:rFonts w:ascii="Times New Roman" w:eastAsia="Times New Roman" w:hAnsi="Times New Roman" w:cs="Times New Roman"/>
          <w:b/>
          <w:bCs/>
          <w:color w:val="auto"/>
          <w:sz w:val="22"/>
          <w:szCs w:val="22"/>
          <w:u w:val="single"/>
          <w:lang w:val="fr-FR"/>
        </w:rPr>
        <w:t xml:space="preserve">Section </w:t>
      </w:r>
      <w:bookmarkEnd w:id="5"/>
      <w:r>
        <w:rPr>
          <w:rFonts w:ascii="Times New Roman" w:eastAsia="Times New Roman" w:hAnsi="Times New Roman" w:cs="Times New Roman"/>
          <w:b/>
          <w:bCs/>
          <w:color w:val="auto"/>
          <w:sz w:val="22"/>
          <w:szCs w:val="22"/>
          <w:u w:val="single"/>
          <w:lang w:val="fr-FR"/>
        </w:rPr>
        <w:t xml:space="preserve">A : </w:t>
      </w:r>
      <w:bookmarkStart w:id="7" w:name="_Toc530736975"/>
      <w:bookmarkEnd w:id="6"/>
      <w:r>
        <w:rPr>
          <w:rFonts w:ascii="Times New Roman" w:eastAsia="Times New Roman" w:hAnsi="Times New Roman" w:cs="Times New Roman"/>
          <w:b/>
          <w:bCs/>
          <w:color w:val="auto"/>
          <w:sz w:val="22"/>
          <w:szCs w:val="22"/>
          <w:u w:val="single"/>
          <w:lang w:val="fr-FR"/>
        </w:rPr>
        <w:t xml:space="preserve">Instructions aux </w:t>
      </w:r>
      <w:proofErr w:type="spellStart"/>
      <w:r>
        <w:rPr>
          <w:rFonts w:ascii="Times New Roman" w:eastAsia="Times New Roman" w:hAnsi="Times New Roman" w:cs="Times New Roman"/>
          <w:b/>
          <w:bCs/>
          <w:color w:val="auto"/>
          <w:sz w:val="22"/>
          <w:szCs w:val="22"/>
          <w:u w:val="single"/>
          <w:lang w:val="fr-FR"/>
        </w:rPr>
        <w:t>soumissionaires</w:t>
      </w:r>
      <w:bookmarkEnd w:id="7"/>
      <w:proofErr w:type="spellEnd"/>
    </w:p>
    <w:p w:rsidR="00D553F8" w:rsidRDefault="00D553F8">
      <w:pPr>
        <w:contextualSpacing/>
        <w:jc w:val="both"/>
        <w:rPr>
          <w:rFonts w:ascii="Times New Roman" w:eastAsia="Times New Roman" w:hAnsi="Times New Roman" w:cs="Times New Roman"/>
          <w:b/>
          <w:bCs/>
          <w:sz w:val="22"/>
          <w:szCs w:val="22"/>
          <w:lang w:val="fr-FR"/>
        </w:rPr>
      </w:pP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Par la présente, nous sollicitons des offres auprès d’</w:t>
      </w:r>
      <w:r>
        <w:rPr>
          <w:rFonts w:ascii="Times New Roman" w:eastAsia="Times New Roman" w:hAnsi="Times New Roman" w:cs="Times New Roman"/>
          <w:b/>
          <w:bCs/>
          <w:sz w:val="22"/>
          <w:szCs w:val="22"/>
          <w:lang w:val="fr-FR"/>
        </w:rPr>
        <w:t xml:space="preserve">un consultant pour le développement d’une capsule pratique sur l’éducation aux médias numériques pour les jeunes des cohortes </w:t>
      </w:r>
      <w:r>
        <w:rPr>
          <w:rFonts w:ascii="Times New Roman" w:eastAsia="Times New Roman" w:hAnsi="Times New Roman" w:cs="Times New Roman"/>
          <w:sz w:val="22"/>
          <w:szCs w:val="22"/>
          <w:lang w:val="fr-FR"/>
        </w:rPr>
        <w:t>en Mauritanie afin de fournir les services décrits à la section B, Spécifications techniques.</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 xml:space="preserve">PAYS DE SOURCE ÉLIGIBLES AUX BIENS </w:t>
      </w:r>
      <w:r>
        <w:rPr>
          <w:rFonts w:ascii="Times New Roman" w:eastAsia="Times New Roman" w:hAnsi="Times New Roman" w:cs="Times New Roman"/>
          <w:b/>
          <w:bCs/>
          <w:sz w:val="22"/>
          <w:szCs w:val="22"/>
          <w:lang w:val="fr-FR"/>
        </w:rPr>
        <w:t>ET SERVICES</w:t>
      </w:r>
    </w:p>
    <w:p w:rsidR="00D553F8" w:rsidRDefault="003461E1">
      <w:pPr>
        <w:pStyle w:val="paragraph"/>
        <w:numPr>
          <w:ilvl w:val="0"/>
          <w:numId w:val="7"/>
        </w:numPr>
        <w:spacing w:before="0" w:beforeAutospacing="0" w:after="0" w:afterAutospacing="0"/>
        <w:ind w:left="1080" w:firstLine="0"/>
        <w:contextualSpacing/>
        <w:jc w:val="both"/>
        <w:textAlignment w:val="baseline"/>
        <w:rPr>
          <w:sz w:val="22"/>
          <w:szCs w:val="22"/>
          <w:lang w:val="fr-FR"/>
        </w:rPr>
      </w:pPr>
      <w:r>
        <w:rPr>
          <w:rStyle w:val="normaltextrun"/>
          <w:sz w:val="22"/>
          <w:szCs w:val="22"/>
          <w:lang w:val="fr-FR"/>
        </w:rPr>
        <w:t>Le soumissionnaire doit légalement être installé en Mauritanie et il doit avoir un agrément valide conformément à la législation en vigueur</w:t>
      </w:r>
      <w:r>
        <w:rPr>
          <w:rStyle w:val="eop"/>
          <w:sz w:val="22"/>
          <w:szCs w:val="22"/>
          <w:lang w:val="fr-FR"/>
        </w:rPr>
        <w:t> </w:t>
      </w:r>
    </w:p>
    <w:p w:rsidR="00D553F8" w:rsidRDefault="003461E1">
      <w:pPr>
        <w:pStyle w:val="paragraph"/>
        <w:numPr>
          <w:ilvl w:val="0"/>
          <w:numId w:val="8"/>
        </w:numPr>
        <w:spacing w:before="0" w:beforeAutospacing="0" w:after="0" w:afterAutospacing="0"/>
        <w:ind w:left="1080" w:firstLine="0"/>
        <w:contextualSpacing/>
        <w:jc w:val="both"/>
        <w:textAlignment w:val="baseline"/>
        <w:rPr>
          <w:sz w:val="22"/>
          <w:szCs w:val="22"/>
          <w:lang w:val="fr-FR"/>
        </w:rPr>
      </w:pPr>
      <w:r>
        <w:rPr>
          <w:rStyle w:val="normaltextrun"/>
          <w:sz w:val="22"/>
          <w:szCs w:val="22"/>
          <w:lang w:val="fr-FR"/>
        </w:rPr>
        <w:t xml:space="preserve">Les soumissionnaires seront considérés comme inéligibles s'ils sont actuellement suspendus, exclus ou </w:t>
      </w:r>
      <w:r>
        <w:rPr>
          <w:rStyle w:val="normaltextrun"/>
          <w:sz w:val="22"/>
          <w:szCs w:val="22"/>
          <w:lang w:val="fr-FR"/>
        </w:rPr>
        <w:t>réputés inéligibles, comme indiqué sur la liste des sites ci-</w:t>
      </w:r>
      <w:proofErr w:type="gramStart"/>
      <w:r>
        <w:rPr>
          <w:rStyle w:val="normaltextrun"/>
          <w:sz w:val="22"/>
          <w:szCs w:val="22"/>
          <w:lang w:val="fr-FR"/>
        </w:rPr>
        <w:t>dessous:</w:t>
      </w:r>
      <w:proofErr w:type="gramEnd"/>
      <w:r>
        <w:rPr>
          <w:rStyle w:val="eop"/>
          <w:sz w:val="22"/>
          <w:szCs w:val="22"/>
          <w:lang w:val="fr-FR"/>
        </w:rPr>
        <w:t> </w:t>
      </w:r>
    </w:p>
    <w:p w:rsidR="00D553F8" w:rsidRDefault="003461E1">
      <w:pPr>
        <w:pStyle w:val="paragraph"/>
        <w:numPr>
          <w:ilvl w:val="0"/>
          <w:numId w:val="9"/>
        </w:numPr>
        <w:spacing w:before="0" w:beforeAutospacing="0" w:after="0" w:afterAutospacing="0"/>
        <w:ind w:left="1800" w:firstLine="0"/>
        <w:contextualSpacing/>
        <w:jc w:val="both"/>
        <w:textAlignment w:val="baseline"/>
        <w:rPr>
          <w:sz w:val="22"/>
          <w:szCs w:val="22"/>
          <w:lang w:val="fr-FR"/>
        </w:rPr>
      </w:pPr>
      <w:hyperlink r:id="rId13" w:history="1">
        <w:r>
          <w:rPr>
            <w:rStyle w:val="Lienhypertexte"/>
            <w:sz w:val="22"/>
            <w:szCs w:val="22"/>
            <w:lang w:val="fr-FR"/>
          </w:rPr>
          <w:t>www.SAM.gov</w:t>
        </w:r>
      </w:hyperlink>
      <w:r>
        <w:rPr>
          <w:rStyle w:val="normaltextrun"/>
          <w:sz w:val="22"/>
          <w:szCs w:val="22"/>
          <w:lang w:val="fr-FR"/>
        </w:rPr>
        <w:t>, par entité ou par individu, et/ou</w:t>
      </w:r>
      <w:r>
        <w:rPr>
          <w:rStyle w:val="eop"/>
          <w:sz w:val="22"/>
          <w:szCs w:val="22"/>
          <w:lang w:val="fr-FR"/>
        </w:rPr>
        <w:t> </w:t>
      </w:r>
    </w:p>
    <w:p w:rsidR="00D553F8" w:rsidRDefault="003461E1">
      <w:pPr>
        <w:pStyle w:val="paragraph"/>
        <w:numPr>
          <w:ilvl w:val="0"/>
          <w:numId w:val="10"/>
        </w:numPr>
        <w:spacing w:before="0" w:beforeAutospacing="0" w:after="0" w:afterAutospacing="0"/>
        <w:ind w:left="1800" w:firstLine="0"/>
        <w:contextualSpacing/>
        <w:jc w:val="both"/>
        <w:textAlignment w:val="baseline"/>
        <w:rPr>
          <w:sz w:val="22"/>
          <w:szCs w:val="22"/>
          <w:lang w:val="fr-FR"/>
        </w:rPr>
      </w:pPr>
      <w:r>
        <w:rPr>
          <w:rStyle w:val="normaltextrun"/>
          <w:sz w:val="22"/>
          <w:szCs w:val="22"/>
          <w:lang w:val="fr-FR"/>
        </w:rPr>
        <w:t>Liste des personnes spécialement désignées et des personnes bloquées par le Trésor américain (à l’adre</w:t>
      </w:r>
      <w:r>
        <w:rPr>
          <w:rStyle w:val="normaltextrun"/>
          <w:sz w:val="22"/>
          <w:szCs w:val="22"/>
          <w:lang w:val="fr-FR"/>
        </w:rPr>
        <w:t>sse : http://www.treasury.gov/resource-center/sanctions/SDN-List/Pages/default.aspx), et/ou</w:t>
      </w:r>
      <w:r>
        <w:rPr>
          <w:rStyle w:val="eop"/>
          <w:sz w:val="22"/>
          <w:szCs w:val="22"/>
          <w:lang w:val="fr-FR"/>
        </w:rPr>
        <w:t> </w:t>
      </w:r>
    </w:p>
    <w:p w:rsidR="00D553F8" w:rsidRDefault="003461E1">
      <w:pPr>
        <w:pStyle w:val="paragraph"/>
        <w:numPr>
          <w:ilvl w:val="0"/>
          <w:numId w:val="11"/>
        </w:numPr>
        <w:spacing w:before="0" w:beforeAutospacing="0" w:after="0" w:afterAutospacing="0"/>
        <w:ind w:left="1800" w:firstLine="0"/>
        <w:contextualSpacing/>
        <w:jc w:val="both"/>
        <w:textAlignment w:val="baseline"/>
        <w:rPr>
          <w:sz w:val="22"/>
          <w:szCs w:val="22"/>
          <w:lang w:val="fr-FR"/>
        </w:rPr>
      </w:pPr>
      <w:r>
        <w:rPr>
          <w:rStyle w:val="normaltextrun"/>
          <w:sz w:val="22"/>
          <w:szCs w:val="22"/>
          <w:lang w:val="fr-FR"/>
        </w:rPr>
        <w:t xml:space="preserve">Les personnes ou entités figurant sur la liste de désignation de sécurité des Nations Unies ou sur celle-ci (à l'adresse suivante : </w:t>
      </w:r>
      <w:hyperlink r:id="rId14" w:tgtFrame="_blank" w:history="1">
        <w:r>
          <w:rPr>
            <w:rStyle w:val="normaltextrun"/>
            <w:sz w:val="22"/>
            <w:szCs w:val="22"/>
            <w:u w:val="single"/>
            <w:shd w:val="clear" w:color="auto" w:fill="E1E3E6"/>
            <w:lang w:val="ru-RU"/>
          </w:rPr>
          <w:t>http://www.un.org/sc/committees/1267/aq_sanctions_list.shtml</w:t>
        </w:r>
      </w:hyperlink>
      <w:r>
        <w:rPr>
          <w:rStyle w:val="normaltextrun"/>
          <w:sz w:val="22"/>
          <w:szCs w:val="22"/>
          <w:lang w:val="fr-FR"/>
        </w:rPr>
        <w:t>).</w:t>
      </w:r>
      <w:r>
        <w:rPr>
          <w:rStyle w:val="eop"/>
          <w:sz w:val="22"/>
          <w:szCs w:val="22"/>
          <w:lang w:val="fr-FR"/>
        </w:rPr>
        <w:t> </w:t>
      </w:r>
    </w:p>
    <w:p w:rsidR="00D553F8" w:rsidRDefault="00D553F8">
      <w:pPr>
        <w:pStyle w:val="paragraph"/>
        <w:spacing w:before="0" w:beforeAutospacing="0" w:after="0" w:afterAutospacing="0"/>
        <w:contextualSpacing/>
        <w:jc w:val="both"/>
        <w:textAlignment w:val="baseline"/>
        <w:rPr>
          <w:rStyle w:val="normaltextrun"/>
          <w:sz w:val="22"/>
          <w:szCs w:val="22"/>
          <w:lang w:val="fr-FR"/>
        </w:rPr>
      </w:pP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lang w:val="fr-FR"/>
        </w:rPr>
        <w:t xml:space="preserve">Le soumissionnaire </w:t>
      </w:r>
      <w:r>
        <w:rPr>
          <w:sz w:val="22"/>
          <w:szCs w:val="22"/>
          <w:lang w:val="fr-FR"/>
        </w:rPr>
        <w:t>à</w:t>
      </w:r>
      <w:r>
        <w:rPr>
          <w:rStyle w:val="normaltextrun"/>
          <w:sz w:val="22"/>
          <w:szCs w:val="22"/>
          <w:lang w:val="fr-FR"/>
        </w:rPr>
        <w:t xml:space="preserve"> cet appel d’offres certifie qu’en répondant à cette offre, il n’y a, à son encontre, ni suspension, radiation, ou quelconque situation qui rend ce dernier inéligible aux appels d’offre du gouvernement américain. </w:t>
      </w:r>
      <w:proofErr w:type="spellStart"/>
      <w:r>
        <w:rPr>
          <w:rStyle w:val="normaltextrun"/>
          <w:sz w:val="22"/>
          <w:szCs w:val="22"/>
          <w:lang w:val="fr-FR"/>
        </w:rPr>
        <w:t>Counterpart</w:t>
      </w:r>
      <w:proofErr w:type="spellEnd"/>
      <w:r>
        <w:rPr>
          <w:rStyle w:val="normaltextrun"/>
          <w:sz w:val="22"/>
          <w:szCs w:val="22"/>
          <w:lang w:val="fr-FR"/>
        </w:rPr>
        <w:t xml:space="preserve"> n’attribuera pas de contrat à q</w:t>
      </w:r>
      <w:r>
        <w:rPr>
          <w:rStyle w:val="normaltextrun"/>
          <w:sz w:val="22"/>
          <w:szCs w:val="22"/>
          <w:lang w:val="fr-FR"/>
        </w:rPr>
        <w:t xml:space="preserve">uelconque firme qui est radié, suspendu ou considéré inéligible par le gouvernement Américain.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PRÉPARATION DES OFFRES</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Les soumissionnaires doivent examiner les spécifications et toutes les instructions contenues dans cet appel d’offres. </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L'offre préparée</w:t>
      </w:r>
      <w:r>
        <w:rPr>
          <w:rFonts w:ascii="Times New Roman" w:eastAsia="Times New Roman" w:hAnsi="Times New Roman" w:cs="Times New Roman"/>
          <w:sz w:val="22"/>
          <w:szCs w:val="22"/>
          <w:lang w:val="fr-FR"/>
        </w:rPr>
        <w:t xml:space="preserve"> par le soumissionnaire et toute correspondance liée à l'offre entre le soumissionnaire et COUNTERPART doivent être en français.</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Les soumissionnaires doivent préparer une offre technique détaillant les services que le fournisseur peut offrir, comme indiqué</w:t>
      </w:r>
      <w:r>
        <w:rPr>
          <w:rFonts w:ascii="Times New Roman" w:eastAsia="Times New Roman" w:hAnsi="Times New Roman" w:cs="Times New Roman"/>
          <w:sz w:val="22"/>
          <w:szCs w:val="22"/>
          <w:lang w:val="fr-FR"/>
        </w:rPr>
        <w:t xml:space="preserve"> à la clause 4, Spécifications techniques.</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lastRenderedPageBreak/>
        <w:t>L’offre du soumissionnaire démontrera sa parfaite compréhension des exigences de COUNTERPART ainsi que de son approche et de sa capacité à fournir les services requis.</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La proposition du soumissionnaire inclura éga</w:t>
      </w:r>
      <w:r>
        <w:rPr>
          <w:rFonts w:ascii="Times New Roman" w:eastAsia="Times New Roman" w:hAnsi="Times New Roman" w:cs="Times New Roman"/>
          <w:sz w:val="22"/>
          <w:szCs w:val="22"/>
          <w:lang w:val="fr-FR"/>
        </w:rPr>
        <w:t xml:space="preserve">lement le (s) CV de la ou des personne (s) chargée (s) de fournir les services à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démontrant ainsi son expérience dans la fourniture de services similaires à des organisations internationales non gouvernementales opérant en Mauritanie.         </w:t>
      </w:r>
      <w:r>
        <w:rPr>
          <w:rFonts w:ascii="Times New Roman" w:eastAsia="Times New Roman" w:hAnsi="Times New Roman" w:cs="Times New Roman"/>
          <w:sz w:val="22"/>
          <w:szCs w:val="22"/>
          <w:lang w:val="fr-FR"/>
        </w:rPr>
        <w:t xml:space="preserve">                                                                                                            </w:t>
      </w:r>
    </w:p>
    <w:p w:rsidR="00D553F8" w:rsidRDefault="00D553F8">
      <w:pPr>
        <w:contextualSpacing/>
        <w:jc w:val="both"/>
        <w:rPr>
          <w:rFonts w:ascii="Times New Roman" w:eastAsia="Times New Roman" w:hAnsi="Times New Roman" w:cs="Times New Roman"/>
          <w:b/>
          <w:bCs/>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VALIDITÉ DES SOUMISSIONS</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1. Toutes les offres restent valables {quatre-vingt-dix jours (90)} jours après la date limite de soumission.</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2. </w:t>
      </w:r>
      <w:proofErr w:type="spellStart"/>
      <w:r>
        <w:rPr>
          <w:rFonts w:ascii="Times New Roman" w:eastAsia="Times New Roman" w:hAnsi="Times New Roman" w:cs="Times New Roman"/>
          <w:sz w:val="22"/>
          <w:szCs w:val="22"/>
          <w:lang w:val="fr-FR"/>
        </w:rPr>
        <w:t>Counterp</w:t>
      </w:r>
      <w:r>
        <w:rPr>
          <w:rFonts w:ascii="Times New Roman" w:eastAsia="Times New Roman" w:hAnsi="Times New Roman" w:cs="Times New Roman"/>
          <w:sz w:val="22"/>
          <w:szCs w:val="22"/>
          <w:lang w:val="fr-FR"/>
        </w:rPr>
        <w:t>art</w:t>
      </w:r>
      <w:proofErr w:type="spellEnd"/>
      <w:r>
        <w:rPr>
          <w:rFonts w:ascii="Times New Roman" w:eastAsia="Times New Roman" w:hAnsi="Times New Roman" w:cs="Times New Roman"/>
          <w:sz w:val="22"/>
          <w:szCs w:val="22"/>
          <w:lang w:val="fr-FR"/>
        </w:rPr>
        <w:t xml:space="preserve"> se réserve le droit d'accepter ou de rejeter les offres ayant une période de validité plus courte et / ou plus longue.</w:t>
      </w: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3. Seules les offres complètes doivent être reçues au plus tard le</w:t>
      </w:r>
      <w:r>
        <w:rPr>
          <w:rFonts w:ascii="Times New Roman" w:eastAsia="Times New Roman" w:hAnsi="Times New Roman" w:cs="Times New Roman"/>
          <w:b/>
          <w:bCs/>
          <w:sz w:val="22"/>
          <w:szCs w:val="22"/>
          <w:lang w:val="fr-FR"/>
        </w:rPr>
        <w:t xml:space="preserve"> </w:t>
      </w:r>
      <w:r>
        <w:rPr>
          <w:rFonts w:ascii="Times New Roman" w:eastAsiaTheme="minorEastAsia" w:hAnsi="Times New Roman" w:cs="Times New Roman"/>
          <w:b/>
          <w:bCs/>
          <w:sz w:val="22"/>
          <w:szCs w:val="22"/>
          <w:lang w:val="fr-FR"/>
        </w:rPr>
        <w:t>18 Octobre 2024</w:t>
      </w:r>
      <w:r>
        <w:rPr>
          <w:rFonts w:ascii="Times New Roman" w:eastAsia="Times New Roman" w:hAnsi="Times New Roman" w:cs="Times New Roman"/>
          <w:b/>
          <w:bCs/>
          <w:sz w:val="22"/>
          <w:szCs w:val="22"/>
          <w:lang w:val="fr-FR"/>
        </w:rPr>
        <w:t xml:space="preserve"> à 12 </w:t>
      </w:r>
      <w:proofErr w:type="spellStart"/>
      <w:r>
        <w:rPr>
          <w:rFonts w:ascii="Times New Roman" w:eastAsia="Times New Roman" w:hAnsi="Times New Roman" w:cs="Times New Roman"/>
          <w:b/>
          <w:bCs/>
          <w:sz w:val="22"/>
          <w:szCs w:val="22"/>
          <w:lang w:val="fr-FR"/>
        </w:rPr>
        <w:t>hr</w:t>
      </w:r>
      <w:proofErr w:type="spellEnd"/>
      <w:r>
        <w:rPr>
          <w:rFonts w:ascii="Times New Roman" w:eastAsia="Times New Roman" w:hAnsi="Times New Roman" w:cs="Times New Roman"/>
          <w:b/>
          <w:bCs/>
          <w:sz w:val="22"/>
          <w:szCs w:val="22"/>
          <w:lang w:val="fr-FR"/>
        </w:rPr>
        <w:t xml:space="preserve"> GMT.</w:t>
      </w:r>
    </w:p>
    <w:p w:rsidR="00D553F8" w:rsidRDefault="00D553F8">
      <w:pPr>
        <w:contextualSpacing/>
        <w:jc w:val="both"/>
        <w:rPr>
          <w:rStyle w:val="Lienhypertexte"/>
          <w:rFonts w:ascii="Times New Roman" w:eastAsia="Times New Roman" w:hAnsi="Times New Roman" w:cs="Times New Roman"/>
          <w:b/>
          <w:bCs/>
          <w:color w:val="auto"/>
          <w:sz w:val="22"/>
          <w:szCs w:val="22"/>
          <w:lang w:val="fr-FR"/>
        </w:rPr>
      </w:pP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b/>
          <w:bCs/>
          <w:sz w:val="22"/>
          <w:szCs w:val="22"/>
          <w:lang w:val="fr-FR"/>
        </w:rPr>
        <w:t xml:space="preserve">QUESTIONS ET DEMANDES DE </w:t>
      </w:r>
      <w:r>
        <w:rPr>
          <w:rStyle w:val="normaltextrun"/>
          <w:b/>
          <w:bCs/>
          <w:sz w:val="22"/>
          <w:szCs w:val="22"/>
          <w:lang w:val="fr-FR"/>
        </w:rPr>
        <w:t>CLARIFICATION</w:t>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 xml:space="preserve">Les questions concernant les exigences techniques ou administratives de cette demande </w:t>
      </w:r>
      <w:proofErr w:type="gramStart"/>
      <w:r>
        <w:rPr>
          <w:rStyle w:val="normaltextrun"/>
          <w:sz w:val="22"/>
          <w:szCs w:val="22"/>
          <w:lang w:val="fr-FR"/>
        </w:rPr>
        <w:t>de offres</w:t>
      </w:r>
      <w:proofErr w:type="gramEnd"/>
      <w:r>
        <w:rPr>
          <w:rStyle w:val="normaltextrun"/>
          <w:sz w:val="22"/>
          <w:szCs w:val="22"/>
          <w:lang w:val="fr-FR"/>
        </w:rPr>
        <w:t xml:space="preserve"> peuvent être soumises au plus tard le</w:t>
      </w:r>
      <w:r>
        <w:rPr>
          <w:rStyle w:val="normaltextrun"/>
          <w:b/>
          <w:bCs/>
          <w:sz w:val="22"/>
          <w:szCs w:val="22"/>
          <w:lang w:val="fr-FR"/>
        </w:rPr>
        <w:t xml:space="preserve"> 11 Octobre 2024 </w:t>
      </w:r>
      <w:r>
        <w:rPr>
          <w:b/>
          <w:bCs/>
          <w:sz w:val="22"/>
          <w:szCs w:val="22"/>
          <w:lang w:val="fr-FR"/>
        </w:rPr>
        <w:t>à</w:t>
      </w:r>
      <w:r>
        <w:rPr>
          <w:rStyle w:val="normaltextrun"/>
          <w:b/>
          <w:bCs/>
          <w:sz w:val="22"/>
          <w:szCs w:val="22"/>
          <w:lang w:val="fr-FR"/>
        </w:rPr>
        <w:t xml:space="preserve"> </w:t>
      </w:r>
      <w:r>
        <w:rPr>
          <w:rStyle w:val="normaltextrun"/>
          <w:b/>
          <w:bCs/>
          <w:sz w:val="22"/>
          <w:szCs w:val="22"/>
          <w:lang w:val="fr-FR"/>
        </w:rPr>
        <w:t>12</w:t>
      </w:r>
      <w:r>
        <w:rPr>
          <w:rStyle w:val="normaltextrun"/>
          <w:b/>
          <w:bCs/>
          <w:sz w:val="22"/>
          <w:szCs w:val="22"/>
          <w:lang w:val="fr-FR"/>
        </w:rPr>
        <w:t xml:space="preserve"> </w:t>
      </w:r>
      <w:proofErr w:type="spellStart"/>
      <w:r>
        <w:rPr>
          <w:rStyle w:val="normaltextrun"/>
          <w:b/>
          <w:bCs/>
          <w:sz w:val="22"/>
          <w:szCs w:val="22"/>
          <w:lang w:val="fr-FR"/>
        </w:rPr>
        <w:t>hr</w:t>
      </w:r>
      <w:proofErr w:type="spellEnd"/>
      <w:r>
        <w:rPr>
          <w:rStyle w:val="normaltextrun"/>
          <w:b/>
          <w:bCs/>
          <w:sz w:val="22"/>
          <w:szCs w:val="22"/>
          <w:lang w:val="fr-FR"/>
        </w:rPr>
        <w:t xml:space="preserve"> GMT</w:t>
      </w:r>
      <w:r>
        <w:rPr>
          <w:rStyle w:val="normaltextrun"/>
          <w:sz w:val="22"/>
          <w:szCs w:val="22"/>
          <w:lang w:val="fr-FR"/>
        </w:rPr>
        <w:t xml:space="preserve"> par courriel à </w:t>
      </w:r>
      <w:hyperlink r:id="rId15" w:tgtFrame="_blank" w:history="1">
        <w:r>
          <w:rPr>
            <w:rStyle w:val="normaltextrun"/>
            <w:sz w:val="22"/>
            <w:szCs w:val="22"/>
            <w:u w:val="single"/>
            <w:shd w:val="clear" w:color="auto" w:fill="FFFFFF" w:themeFill="background1"/>
            <w:lang w:val="fr-FR"/>
          </w:rPr>
          <w:t>procurement.mauritania@counterpart.org</w:t>
        </w:r>
      </w:hyperlink>
      <w:r>
        <w:rPr>
          <w:rStyle w:val="normaltextrun"/>
          <w:sz w:val="22"/>
          <w:szCs w:val="22"/>
          <w:u w:val="single"/>
          <w:lang w:val="fr-FR"/>
        </w:rPr>
        <w:t xml:space="preserve">. </w:t>
      </w:r>
      <w:r>
        <w:rPr>
          <w:rStyle w:val="normaltextrun"/>
          <w:sz w:val="22"/>
          <w:szCs w:val="22"/>
          <w:lang w:val="fr-FR"/>
        </w:rPr>
        <w:t>Les questions doivent être soumises uniquement par écrit. </w:t>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Les appels téléphoniques ne seront pas acceptés. Les questions et les demandes d'éclaircissement - et les réponses à celles-ci que COUNTERPART e</w:t>
      </w:r>
      <w:r>
        <w:rPr>
          <w:rStyle w:val="normaltextrun"/>
          <w:sz w:val="22"/>
          <w:szCs w:val="22"/>
          <w:lang w:val="fr-FR"/>
        </w:rPr>
        <w:t xml:space="preserve">stime susceptibles d'intéresser les autres soumissionnaires seront partagées à tous les soumissionnaires à titre d'amendement à la demande </w:t>
      </w:r>
      <w:proofErr w:type="gramStart"/>
      <w:r>
        <w:rPr>
          <w:rStyle w:val="normaltextrun"/>
          <w:sz w:val="22"/>
          <w:szCs w:val="22"/>
          <w:lang w:val="fr-FR"/>
        </w:rPr>
        <w:t>de offres</w:t>
      </w:r>
      <w:proofErr w:type="gramEnd"/>
      <w:r>
        <w:rPr>
          <w:rStyle w:val="normaltextrun"/>
          <w:sz w:val="22"/>
          <w:szCs w:val="22"/>
          <w:lang w:val="fr-FR"/>
        </w:rPr>
        <w:t>.</w:t>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 xml:space="preserve">Seules les réponses écrites publiées par COUNTERPART seront considérées comme officielles et auront un </w:t>
      </w:r>
      <w:r>
        <w:rPr>
          <w:rStyle w:val="normaltextrun"/>
          <w:sz w:val="22"/>
          <w:szCs w:val="22"/>
          <w:lang w:val="fr-FR"/>
        </w:rPr>
        <w:t>poids dans le processus d'appel d'offres et l'évaluation subséquente. </w:t>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Toute information verbale reçue des employés de COUNTERPART ou de toute autre entité ne devra pas être considérée comme une réponse officielle à toute question concernant cette demande</w:t>
      </w:r>
      <w:r>
        <w:rPr>
          <w:rStyle w:val="normaltextrun"/>
          <w:sz w:val="22"/>
          <w:szCs w:val="22"/>
          <w:lang w:val="fr-FR"/>
        </w:rPr>
        <w:t xml:space="preserve"> </w:t>
      </w:r>
      <w:proofErr w:type="gramStart"/>
      <w:r>
        <w:rPr>
          <w:rStyle w:val="normaltextrun"/>
          <w:sz w:val="22"/>
          <w:szCs w:val="22"/>
          <w:lang w:val="fr-FR"/>
        </w:rPr>
        <w:t>de offres</w:t>
      </w:r>
      <w:proofErr w:type="gramEnd"/>
      <w:r>
        <w:rPr>
          <w:rStyle w:val="normaltextrun"/>
          <w:sz w:val="22"/>
          <w:szCs w:val="22"/>
          <w:lang w:val="fr-FR"/>
        </w:rPr>
        <w:t>.</w:t>
      </w:r>
      <w:r>
        <w:rPr>
          <w:rStyle w:val="eop"/>
          <w:sz w:val="22"/>
          <w:szCs w:val="22"/>
          <w:lang w:val="fr-FR"/>
        </w:rPr>
        <w:t> </w:t>
      </w:r>
    </w:p>
    <w:p w:rsidR="00D553F8" w:rsidRDefault="00D553F8">
      <w:pPr>
        <w:pStyle w:val="paragraph"/>
        <w:shd w:val="clear" w:color="auto" w:fill="FFFFFF" w:themeFill="background1"/>
        <w:spacing w:before="0" w:beforeAutospacing="0" w:after="0" w:afterAutospacing="0"/>
        <w:contextualSpacing/>
        <w:jc w:val="both"/>
        <w:textAlignment w:val="baseline"/>
        <w:rPr>
          <w:sz w:val="22"/>
          <w:szCs w:val="22"/>
          <w:lang w:val="fr-FR"/>
        </w:rPr>
      </w:pP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lang w:val="fr-FR"/>
        </w:rPr>
        <w:t xml:space="preserve">Tout soumissionnaire qui sera tenté d’entrer en contact, dans le cadre de cet appel d’offres, avec un membre du Personnel de </w:t>
      </w:r>
      <w:proofErr w:type="spellStart"/>
      <w:r>
        <w:rPr>
          <w:rStyle w:val="normaltextrun"/>
          <w:sz w:val="22"/>
          <w:szCs w:val="22"/>
          <w:lang w:val="fr-FR"/>
        </w:rPr>
        <w:t>Counterpart</w:t>
      </w:r>
      <w:proofErr w:type="spellEnd"/>
      <w:r>
        <w:rPr>
          <w:rStyle w:val="normaltextrun"/>
          <w:sz w:val="22"/>
          <w:szCs w:val="22"/>
          <w:lang w:val="fr-FR"/>
        </w:rPr>
        <w:t xml:space="preserve"> International par une voie autre que celle autorisée risquera une disqualification de son offre. Cette te</w:t>
      </w:r>
      <w:r>
        <w:rPr>
          <w:rStyle w:val="normaltextrun"/>
          <w:sz w:val="22"/>
          <w:szCs w:val="22"/>
          <w:lang w:val="fr-FR"/>
        </w:rPr>
        <w:t>ntative pourrait même motiver une annulation de cet Appel d’Offres.</w:t>
      </w:r>
      <w:r>
        <w:rPr>
          <w:rStyle w:val="eop"/>
          <w:sz w:val="22"/>
          <w:szCs w:val="22"/>
          <w:lang w:val="fr-FR"/>
        </w:rPr>
        <w:t>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MODIFICATION DES OFFRES</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COUNTERPART peut demander à tout soumissionnaire de clarifier son offre ; néanmoins, aucun soumissionnaire ne sera autorisé à modifier son prix, ni à apporter tou</w:t>
      </w:r>
      <w:r>
        <w:rPr>
          <w:rFonts w:ascii="Times New Roman" w:eastAsia="Times New Roman" w:hAnsi="Times New Roman" w:cs="Times New Roman"/>
          <w:sz w:val="22"/>
          <w:szCs w:val="22"/>
          <w:lang w:val="fr-FR"/>
        </w:rPr>
        <w:t>te autre modification importante après la date limite de soumission, à moins que l’offre n'ait été modifiée ou que la date limite n'ait été repoussée. Les clarifications qui ne changent pas le prix de la soumission ou d'autres aspects importants de la soum</w:t>
      </w:r>
      <w:r>
        <w:rPr>
          <w:rFonts w:ascii="Times New Roman" w:eastAsia="Times New Roman" w:hAnsi="Times New Roman" w:cs="Times New Roman"/>
          <w:sz w:val="22"/>
          <w:szCs w:val="22"/>
          <w:lang w:val="fr-FR"/>
        </w:rPr>
        <w:t>ission peuvent être acceptées.</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DROIT DE COUNTERPART D’ACCEPTER TOUTE OFFRE ET DE REJETER TOUTE AUTRE OFFRE</w:t>
      </w:r>
    </w:p>
    <w:p w:rsidR="00D553F8" w:rsidRDefault="003461E1">
      <w:pPr>
        <w:contextualSpacing/>
        <w:jc w:val="both"/>
        <w:rPr>
          <w:rFonts w:ascii="Times New Roman" w:eastAsia="Times New Roman" w:hAnsi="Times New Roman" w:cs="Times New Roman"/>
          <w:sz w:val="22"/>
          <w:szCs w:val="22"/>
          <w:lang w:val="fr-FR"/>
        </w:rPr>
      </w:pP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rejettera toute offre qui ne répond pas aux exigences techniques requises.</w:t>
      </w: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r>
        <w:rPr>
          <w:rFonts w:ascii="Times New Roman" w:hAnsi="Times New Roman" w:cs="Times New Roman"/>
          <w:sz w:val="22"/>
          <w:szCs w:val="22"/>
          <w:lang w:val="fr-FR"/>
        </w:rPr>
        <w:t>Veuillez noter qu'en soumettant une réponse à cet appel d’offres, le soumissionnaire comprend que l’USAID n'est pas une partie à cette sollicitation et le soumissionnaire accepte que toute réclamation ci-dessous doit être présentée - par écrit avec des exp</w:t>
      </w:r>
      <w:r>
        <w:rPr>
          <w:rFonts w:ascii="Times New Roman" w:hAnsi="Times New Roman" w:cs="Times New Roman"/>
          <w:sz w:val="22"/>
          <w:szCs w:val="22"/>
          <w:lang w:val="fr-FR"/>
        </w:rPr>
        <w:t xml:space="preserve">lications complètes – à </w:t>
      </w:r>
      <w:proofErr w:type="spellStart"/>
      <w:r>
        <w:rPr>
          <w:rFonts w:ascii="Times New Roman" w:hAnsi="Times New Roman" w:cs="Times New Roman"/>
          <w:sz w:val="22"/>
          <w:szCs w:val="22"/>
          <w:lang w:val="fr-FR"/>
        </w:rPr>
        <w:t>Counterpart</w:t>
      </w:r>
      <w:proofErr w:type="spellEnd"/>
      <w:r>
        <w:rPr>
          <w:rFonts w:ascii="Times New Roman" w:hAnsi="Times New Roman" w:cs="Times New Roman"/>
          <w:sz w:val="22"/>
          <w:szCs w:val="22"/>
          <w:lang w:val="fr-FR"/>
        </w:rPr>
        <w:t xml:space="preserve"> pour considération, car l’USAID ne tiendra pas compte des réclamations concernant les services effectués par les partenaires d'exécution. </w:t>
      </w: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proofErr w:type="spellStart"/>
      <w:r>
        <w:rPr>
          <w:rFonts w:ascii="Times New Roman" w:hAnsi="Times New Roman" w:cs="Times New Roman"/>
          <w:sz w:val="22"/>
          <w:szCs w:val="22"/>
          <w:lang w:val="fr-FR"/>
        </w:rPr>
        <w:t>Counterpart</w:t>
      </w:r>
      <w:proofErr w:type="spellEnd"/>
      <w:r>
        <w:rPr>
          <w:rFonts w:ascii="Times New Roman" w:hAnsi="Times New Roman" w:cs="Times New Roman"/>
          <w:sz w:val="22"/>
          <w:szCs w:val="22"/>
          <w:lang w:val="fr-FR"/>
        </w:rPr>
        <w:t>, à sa seule discrétion, prendra une décision finale sur toute réclama</w:t>
      </w:r>
      <w:r>
        <w:rPr>
          <w:rFonts w:ascii="Times New Roman" w:hAnsi="Times New Roman" w:cs="Times New Roman"/>
          <w:sz w:val="22"/>
          <w:szCs w:val="22"/>
          <w:lang w:val="fr-FR"/>
        </w:rPr>
        <w:t>tion.</w:t>
      </w:r>
    </w:p>
    <w:p w:rsidR="00D553F8" w:rsidRDefault="00D553F8">
      <w:pPr>
        <w:pStyle w:val="Paragraphedeliste"/>
        <w:spacing w:line="240" w:lineRule="auto"/>
        <w:ind w:left="0"/>
        <w:jc w:val="both"/>
        <w:rPr>
          <w:rFonts w:ascii="Times New Roman" w:eastAsia="Times New Roman" w:hAnsi="Times New Roman" w:cs="Times New Roman"/>
          <w:lang w:val="fr-FR"/>
        </w:rPr>
      </w:pPr>
    </w:p>
    <w:p w:rsidR="00D553F8" w:rsidRDefault="003461E1">
      <w:pPr>
        <w:pStyle w:val="Paragraphedeliste"/>
        <w:spacing w:line="240" w:lineRule="auto"/>
        <w:ind w:left="0"/>
        <w:jc w:val="both"/>
        <w:rPr>
          <w:rFonts w:ascii="Times New Roman" w:eastAsia="Arial" w:hAnsi="Times New Roman" w:cs="Times New Roman"/>
          <w:b/>
          <w:bCs/>
          <w:color w:val="C8102E"/>
          <w:lang w:val="fr-FR"/>
        </w:rPr>
      </w:pPr>
      <w:r>
        <w:rPr>
          <w:rFonts w:ascii="Times New Roman" w:eastAsia="Times New Roman" w:hAnsi="Times New Roman" w:cs="Times New Roman"/>
          <w:b/>
          <w:bCs/>
          <w:lang w:val="fr-FR"/>
        </w:rPr>
        <w:t>QUALIFICATIONS DU CONSULTANT OU DU CABINET</w:t>
      </w:r>
      <w:r>
        <w:rPr>
          <w:rFonts w:ascii="Times New Roman" w:eastAsia="Arial" w:hAnsi="Times New Roman" w:cs="Times New Roman"/>
          <w:b/>
          <w:bCs/>
          <w:color w:val="C8102E"/>
          <w:lang w:val="fr-FR"/>
        </w:rPr>
        <w:t>  </w:t>
      </w:r>
    </w:p>
    <w:p w:rsidR="00D553F8" w:rsidRDefault="003461E1">
      <w:pPr>
        <w:pStyle w:val="Paragraphedeliste"/>
        <w:spacing w:line="240" w:lineRule="auto"/>
        <w:ind w:left="0"/>
        <w:jc w:val="both"/>
        <w:rPr>
          <w:rFonts w:ascii="Times New Roman" w:hAnsi="Times New Roman" w:cs="Times New Roman"/>
          <w:lang w:val="fr-FR"/>
        </w:rPr>
      </w:pPr>
      <w:proofErr w:type="spellStart"/>
      <w:r>
        <w:rPr>
          <w:rFonts w:ascii="Times New Roman" w:eastAsia="Times New Roman" w:hAnsi="Times New Roman" w:cs="Times New Roman"/>
          <w:color w:val="000000" w:themeColor="text1"/>
          <w:lang w:val="fr-FR"/>
        </w:rPr>
        <w:t>Counterpart</w:t>
      </w:r>
      <w:proofErr w:type="spellEnd"/>
      <w:r>
        <w:rPr>
          <w:rFonts w:ascii="Times New Roman" w:eastAsia="Times New Roman" w:hAnsi="Times New Roman" w:cs="Times New Roman"/>
          <w:color w:val="000000" w:themeColor="text1"/>
          <w:lang w:val="fr-FR"/>
        </w:rPr>
        <w:t xml:space="preserve"> International est à la recherche d’un consultant ou d’un cabinet de consultance dans les domaines professionnels de la société civile et du renforcement des capacités des organisations de la société </w:t>
      </w:r>
      <w:proofErr w:type="gramStart"/>
      <w:r>
        <w:rPr>
          <w:rFonts w:ascii="Times New Roman" w:eastAsia="Times New Roman" w:hAnsi="Times New Roman" w:cs="Times New Roman"/>
          <w:color w:val="000000" w:themeColor="text1"/>
          <w:lang w:val="fr-FR"/>
        </w:rPr>
        <w:t>civile .</w:t>
      </w:r>
      <w:proofErr w:type="gramEnd"/>
      <w:r>
        <w:rPr>
          <w:rFonts w:ascii="Times New Roman" w:eastAsia="Times New Roman" w:hAnsi="Times New Roman" w:cs="Times New Roman"/>
          <w:color w:val="000000" w:themeColor="text1"/>
          <w:lang w:val="fr-FR"/>
        </w:rPr>
        <w:t xml:space="preserve"> Le cabinet, le consultant ou l’équip</w:t>
      </w:r>
      <w:r>
        <w:rPr>
          <w:rFonts w:ascii="Times New Roman" w:eastAsia="Times New Roman" w:hAnsi="Times New Roman" w:cs="Times New Roman"/>
          <w:color w:val="000000" w:themeColor="text1"/>
          <w:lang w:val="fr-FR"/>
        </w:rPr>
        <w:t xml:space="preserve">e de consultants devra : </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lastRenderedPageBreak/>
        <w:t>Disposer d’une expérience avérée d’au moins cinq (05) ans en matière de renforcement des capacités des organisations de la société civile, de projets liés au milieu associatif, d’accompagnement au développement institutionnel et m</w:t>
      </w:r>
      <w:r>
        <w:rPr>
          <w:rFonts w:ascii="Times New Roman" w:eastAsia="Times New Roman" w:hAnsi="Times New Roman" w:cs="Times New Roman"/>
          <w:color w:val="000000" w:themeColor="text1"/>
          <w:lang w:val="fr-FR"/>
        </w:rPr>
        <w:t xml:space="preserve">anagérial des </w:t>
      </w:r>
      <w:proofErr w:type="spellStart"/>
      <w:r>
        <w:rPr>
          <w:rFonts w:ascii="Times New Roman" w:eastAsia="Times New Roman" w:hAnsi="Times New Roman" w:cs="Times New Roman"/>
          <w:color w:val="000000" w:themeColor="text1"/>
          <w:lang w:val="fr-FR"/>
        </w:rPr>
        <w:t>OSCs</w:t>
      </w:r>
      <w:proofErr w:type="spellEnd"/>
      <w:r>
        <w:rPr>
          <w:rFonts w:ascii="Times New Roman" w:eastAsia="Times New Roman" w:hAnsi="Times New Roman" w:cs="Times New Roman"/>
          <w:color w:val="000000" w:themeColor="text1"/>
          <w:lang w:val="fr-FR"/>
        </w:rPr>
        <w:t>.</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Disposer d’une expertise technique dans tous les domaines pertinents à cette consultance </w:t>
      </w:r>
      <w:proofErr w:type="gramStart"/>
      <w:r>
        <w:rPr>
          <w:rFonts w:ascii="Times New Roman" w:eastAsia="Times New Roman" w:hAnsi="Times New Roman" w:cs="Times New Roman"/>
          <w:color w:val="000000" w:themeColor="text1"/>
          <w:lang w:val="fr-FR"/>
        </w:rPr>
        <w:t>:  gestion</w:t>
      </w:r>
      <w:proofErr w:type="gramEnd"/>
      <w:r>
        <w:rPr>
          <w:rFonts w:ascii="Times New Roman" w:eastAsia="Times New Roman" w:hAnsi="Times New Roman" w:cs="Times New Roman"/>
          <w:color w:val="000000" w:themeColor="text1"/>
          <w:lang w:val="fr-FR"/>
        </w:rPr>
        <w:t xml:space="preserve"> stratégique des </w:t>
      </w:r>
      <w:proofErr w:type="spellStart"/>
      <w:r>
        <w:rPr>
          <w:rFonts w:ascii="Times New Roman" w:eastAsia="Times New Roman" w:hAnsi="Times New Roman" w:cs="Times New Roman"/>
          <w:color w:val="000000" w:themeColor="text1"/>
          <w:lang w:val="fr-FR"/>
        </w:rPr>
        <w:t>OSCs</w:t>
      </w:r>
      <w:proofErr w:type="spellEnd"/>
      <w:r>
        <w:rPr>
          <w:rFonts w:ascii="Times New Roman" w:eastAsia="Times New Roman" w:hAnsi="Times New Roman" w:cs="Times New Roman"/>
          <w:color w:val="000000" w:themeColor="text1"/>
          <w:lang w:val="fr-FR"/>
        </w:rPr>
        <w:t xml:space="preserve">, gestion administrative et financière des </w:t>
      </w:r>
      <w:proofErr w:type="spellStart"/>
      <w:r>
        <w:rPr>
          <w:rFonts w:ascii="Times New Roman" w:eastAsia="Times New Roman" w:hAnsi="Times New Roman" w:cs="Times New Roman"/>
          <w:color w:val="000000" w:themeColor="text1"/>
          <w:lang w:val="fr-FR"/>
        </w:rPr>
        <w:t>OSCs</w:t>
      </w:r>
      <w:proofErr w:type="spellEnd"/>
      <w:r>
        <w:rPr>
          <w:rFonts w:ascii="Times New Roman" w:eastAsia="Times New Roman" w:hAnsi="Times New Roman" w:cs="Times New Roman"/>
          <w:color w:val="000000" w:themeColor="text1"/>
          <w:lang w:val="fr-FR"/>
        </w:rPr>
        <w:t>, gestion de projet, mobilisation des ressources dans le milieu assoc</w:t>
      </w:r>
      <w:r>
        <w:rPr>
          <w:rFonts w:ascii="Times New Roman" w:eastAsia="Times New Roman" w:hAnsi="Times New Roman" w:cs="Times New Roman"/>
          <w:color w:val="000000" w:themeColor="text1"/>
          <w:lang w:val="fr-FR"/>
        </w:rPr>
        <w:t>iatif, plaidoyer et communications.</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Avoir conduit des activités similaires et de préférence dans le contexte mauritanien. </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Avoir une expérience concrète dans la formation des jeunes et adultes. </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Avoir une bonne connaissance du contexte national mauritanien</w:t>
      </w:r>
      <w:r>
        <w:rPr>
          <w:rFonts w:ascii="Times New Roman" w:eastAsia="Times New Roman" w:hAnsi="Times New Roman" w:cs="Times New Roman"/>
          <w:color w:val="000000" w:themeColor="text1"/>
          <w:lang w:val="fr-FR"/>
        </w:rPr>
        <w:t xml:space="preserve"> en général et en particulier dans le renforcement des capacités institutionnelles des OSJ et OSC locales.</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Être familier avec un large éventail d'outils d’accompagnement des </w:t>
      </w:r>
      <w:proofErr w:type="spellStart"/>
      <w:r>
        <w:rPr>
          <w:rFonts w:ascii="Times New Roman" w:eastAsia="Times New Roman" w:hAnsi="Times New Roman" w:cs="Times New Roman"/>
          <w:color w:val="000000" w:themeColor="text1"/>
          <w:lang w:val="fr-FR"/>
        </w:rPr>
        <w:t>OSCs</w:t>
      </w:r>
      <w:proofErr w:type="spellEnd"/>
      <w:r>
        <w:rPr>
          <w:rFonts w:ascii="Times New Roman" w:eastAsia="Times New Roman" w:hAnsi="Times New Roman" w:cs="Times New Roman"/>
          <w:color w:val="000000" w:themeColor="text1"/>
          <w:lang w:val="fr-FR"/>
        </w:rPr>
        <w:t xml:space="preserve"> à faible niveau (structuration interne, mobilisation des ressources, planific</w:t>
      </w:r>
      <w:r>
        <w:rPr>
          <w:rFonts w:ascii="Times New Roman" w:eastAsia="Times New Roman" w:hAnsi="Times New Roman" w:cs="Times New Roman"/>
          <w:color w:val="000000" w:themeColor="text1"/>
          <w:lang w:val="fr-FR"/>
        </w:rPr>
        <w:t>ation stratégique, etc.)</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Démontrer une maîtrise des techniques de facilitation pour transmettre efficacement les connaissances et techniques dans le cadre des formations des OSJ.</w:t>
      </w:r>
    </w:p>
    <w:p w:rsidR="00D553F8" w:rsidRDefault="003461E1">
      <w:pPr>
        <w:pStyle w:val="Paragraphedeliste"/>
        <w:numPr>
          <w:ilvl w:val="0"/>
          <w:numId w:val="13"/>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Le consultant doit être régulièrement et légalement installée et autorisée à </w:t>
      </w:r>
      <w:r>
        <w:rPr>
          <w:rFonts w:ascii="Times New Roman" w:eastAsia="Times New Roman" w:hAnsi="Times New Roman" w:cs="Times New Roman"/>
          <w:lang w:val="fr-FR"/>
        </w:rPr>
        <w:t>opérer en Mauritanie avec un registre de commerce et NIF</w:t>
      </w:r>
    </w:p>
    <w:p w:rsidR="00D553F8" w:rsidRDefault="003461E1">
      <w:pPr>
        <w:pStyle w:val="Paragraphedeliste"/>
        <w:numPr>
          <w:ilvl w:val="0"/>
          <w:numId w:val="13"/>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Le consultant doit avoir une présence établie en Mauritanie</w:t>
      </w:r>
    </w:p>
    <w:p w:rsidR="00D553F8" w:rsidRDefault="00D553F8">
      <w:pPr>
        <w:pStyle w:val="Paragraphedeliste"/>
        <w:spacing w:line="240" w:lineRule="auto"/>
        <w:ind w:left="0"/>
        <w:jc w:val="both"/>
        <w:rPr>
          <w:rFonts w:ascii="Times New Roman" w:eastAsia="Times New Roman" w:hAnsi="Times New Roman" w:cs="Times New Roman"/>
          <w:lang w:val="fr-FR"/>
        </w:rPr>
      </w:pPr>
    </w:p>
    <w:p w:rsidR="00D553F8" w:rsidRDefault="003461E1">
      <w:pPr>
        <w:pStyle w:val="Paragraphedeliste"/>
        <w:spacing w:line="240" w:lineRule="auto"/>
        <w:ind w:left="0"/>
        <w:jc w:val="both"/>
        <w:rPr>
          <w:rFonts w:ascii="Times New Roman" w:eastAsia="Times New Roman" w:hAnsi="Times New Roman" w:cs="Times New Roman"/>
          <w:b/>
          <w:bCs/>
          <w:lang w:val="fr-FR"/>
        </w:rPr>
      </w:pPr>
      <w:r>
        <w:rPr>
          <w:rFonts w:ascii="Times New Roman" w:eastAsia="Times New Roman" w:hAnsi="Times New Roman" w:cs="Times New Roman"/>
          <w:b/>
          <w:bCs/>
          <w:lang w:val="fr-FR"/>
        </w:rPr>
        <w:t>INSTRUCTION SUR LA SOUMISSION DES OFFRES :</w:t>
      </w:r>
    </w:p>
    <w:p w:rsidR="00D553F8" w:rsidRDefault="003461E1">
      <w:pPr>
        <w:pStyle w:val="Paragraphedeliste"/>
        <w:spacing w:line="240" w:lineRule="auto"/>
        <w:ind w:left="0"/>
        <w:jc w:val="both"/>
        <w:rPr>
          <w:rFonts w:ascii="Times New Roman" w:eastAsia="Times New Roman" w:hAnsi="Times New Roman" w:cs="Times New Roman"/>
          <w:lang w:val="fr-FR"/>
        </w:rPr>
      </w:pPr>
      <w:r>
        <w:rPr>
          <w:rFonts w:ascii="Times New Roman" w:eastAsia="Times New Roman" w:hAnsi="Times New Roman" w:cs="Times New Roman"/>
          <w:lang w:val="fr-FR"/>
        </w:rPr>
        <w:t>Vous devez soumettre des offres signées et datées au bureau indiqué dans la présente demande de</w:t>
      </w:r>
      <w:r>
        <w:rPr>
          <w:rFonts w:ascii="Times New Roman" w:eastAsia="Times New Roman" w:hAnsi="Times New Roman" w:cs="Times New Roman"/>
          <w:lang w:val="fr-FR"/>
        </w:rPr>
        <w:t xml:space="preserve"> soumissions au plus tard à l'heure exacte indiquée dans cette sollicitation. Les soumissionnaires doivent fournir l'information et les documentations suivantes :</w:t>
      </w:r>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La page de couverture de l’offre doit indiquer le numéro de cet avis d’appel d’offres ;</w:t>
      </w:r>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Le nu</w:t>
      </w:r>
      <w:r>
        <w:rPr>
          <w:rFonts w:ascii="Times New Roman" w:eastAsia="Times New Roman" w:hAnsi="Times New Roman" w:cs="Times New Roman"/>
          <w:lang w:val="fr-FR"/>
        </w:rPr>
        <w:t>méro d’enregistrement de la société, son adresse physique et ses coordonnées (nom, téléphone et adresse électronique</w:t>
      </w:r>
      <w:proofErr w:type="gramStart"/>
      <w:r>
        <w:rPr>
          <w:rFonts w:ascii="Times New Roman" w:eastAsia="Times New Roman" w:hAnsi="Times New Roman" w:cs="Times New Roman"/>
          <w:lang w:val="fr-FR"/>
        </w:rPr>
        <w:t>);</w:t>
      </w:r>
      <w:proofErr w:type="gramEnd"/>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Informations générales sur l’histoire et l’expérience de la société, en particulier auprès des </w:t>
      </w:r>
      <w:proofErr w:type="spellStart"/>
      <w:r>
        <w:rPr>
          <w:rFonts w:ascii="Times New Roman" w:eastAsia="Times New Roman" w:hAnsi="Times New Roman" w:cs="Times New Roman"/>
          <w:lang w:val="fr-FR"/>
        </w:rPr>
        <w:t>ONGs</w:t>
      </w:r>
      <w:proofErr w:type="spellEnd"/>
      <w:r>
        <w:rPr>
          <w:rFonts w:ascii="Times New Roman" w:eastAsia="Times New Roman" w:hAnsi="Times New Roman" w:cs="Times New Roman"/>
          <w:lang w:val="fr-FR"/>
        </w:rPr>
        <w:t xml:space="preserve"> et </w:t>
      </w:r>
      <w:proofErr w:type="spellStart"/>
      <w:r>
        <w:rPr>
          <w:rFonts w:ascii="Times New Roman" w:eastAsia="Times New Roman" w:hAnsi="Times New Roman" w:cs="Times New Roman"/>
          <w:lang w:val="fr-FR"/>
        </w:rPr>
        <w:t>Organizations</w:t>
      </w:r>
      <w:proofErr w:type="spellEnd"/>
      <w:r>
        <w:rPr>
          <w:rFonts w:ascii="Times New Roman" w:eastAsia="Times New Roman" w:hAnsi="Times New Roman" w:cs="Times New Roman"/>
          <w:lang w:val="fr-FR"/>
        </w:rPr>
        <w:t xml:space="preserve"> internationales</w:t>
      </w:r>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Minimum 3 (trois) références pertinentes pour des services similaires et autres références (y compris les points de contact avec numéros de téléphone et adresses électroniques) ;</w:t>
      </w:r>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Offres-en </w:t>
      </w:r>
      <w:r>
        <w:rPr>
          <w:rFonts w:ascii="Times New Roman" w:eastAsia="Times New Roman" w:hAnsi="Times New Roman" w:cs="Times New Roman"/>
          <w:b/>
          <w:bCs/>
          <w:shd w:val="clear" w:color="auto" w:fill="FFFFFF"/>
          <w:lang w:val="fr-FR"/>
        </w:rPr>
        <w:t>MRU et en Hors TVA</w:t>
      </w:r>
      <w:r>
        <w:rPr>
          <w:rFonts w:ascii="Times New Roman" w:eastAsia="Times New Roman" w:hAnsi="Times New Roman" w:cs="Times New Roman"/>
          <w:lang w:val="fr-FR"/>
        </w:rPr>
        <w:t xml:space="preserve"> basée sur le tableau mentionné ci-dessous</w:t>
      </w:r>
    </w:p>
    <w:p w:rsidR="00D553F8" w:rsidRDefault="00D553F8">
      <w:pPr>
        <w:pStyle w:val="Paragraphedeliste"/>
        <w:spacing w:line="240" w:lineRule="auto"/>
        <w:ind w:left="0"/>
        <w:jc w:val="both"/>
        <w:rPr>
          <w:rFonts w:ascii="Times New Roman" w:eastAsia="Times New Roman" w:hAnsi="Times New Roman" w:cs="Times New Roman"/>
          <w:lang w:val="fr-FR"/>
        </w:rPr>
      </w:pPr>
    </w:p>
    <w:p w:rsidR="00D553F8" w:rsidRDefault="003461E1">
      <w:pPr>
        <w:pStyle w:val="Paragraphedeliste"/>
        <w:spacing w:line="240" w:lineRule="auto"/>
        <w:ind w:left="0"/>
        <w:jc w:val="both"/>
        <w:rPr>
          <w:rFonts w:ascii="Times New Roman" w:eastAsia="Times New Roman" w:hAnsi="Times New Roman" w:cs="Times New Roman"/>
          <w:b/>
          <w:bCs/>
          <w:lang w:val="fr-FR"/>
        </w:rPr>
      </w:pPr>
      <w:r>
        <w:rPr>
          <w:rFonts w:ascii="Times New Roman" w:eastAsia="Times New Roman" w:hAnsi="Times New Roman" w:cs="Times New Roman"/>
          <w:b/>
          <w:bCs/>
          <w:lang w:val="fr-FR"/>
        </w:rPr>
        <w:t>DEVIS</w:t>
      </w:r>
    </w:p>
    <w:p w:rsidR="00D553F8" w:rsidRDefault="003461E1">
      <w:pPr>
        <w:pStyle w:val="Paragraphedeliste"/>
        <w:spacing w:line="240" w:lineRule="auto"/>
        <w:ind w:left="0"/>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Les soumissionnaires doivent préparer un devis dans un document Microsoft Excel exploitable précisant la ventilation détaillée des coûts et le prix total des services offerts en réponse à la présente demande de devis. L'offre doit indiquer clairement les </w:t>
      </w:r>
      <w:r>
        <w:rPr>
          <w:rFonts w:ascii="Times New Roman" w:eastAsia="Times New Roman" w:hAnsi="Times New Roman" w:cs="Times New Roman"/>
          <w:lang w:val="fr-FR"/>
        </w:rPr>
        <w:t xml:space="preserve">prix des services décrits dans le tableau ci-dessous. </w:t>
      </w:r>
    </w:p>
    <w:p w:rsidR="00D553F8" w:rsidRDefault="003461E1">
      <w:pPr>
        <w:pStyle w:val="Paragraphedeliste"/>
        <w:spacing w:line="240" w:lineRule="auto"/>
        <w:ind w:left="0"/>
        <w:jc w:val="both"/>
        <w:rPr>
          <w:rFonts w:ascii="Times New Roman" w:eastAsia="Times New Roman" w:hAnsi="Times New Roman" w:cs="Times New Roman"/>
          <w:lang w:val="fr-FR"/>
        </w:rPr>
      </w:pPr>
      <w:r>
        <w:rPr>
          <w:rFonts w:ascii="Times New Roman" w:eastAsia="Times New Roman" w:hAnsi="Times New Roman" w:cs="Times New Roman"/>
          <w:lang w:val="fr-FR"/>
        </w:rPr>
        <w:t>En cas de divergence entre le prix unitaire et le montant total, le prix unitaire sera considéré comme correct et le montant total ajusté en conséquence. Il sera supposé que le soumissionnaire ne soumi</w:t>
      </w:r>
      <w:r>
        <w:rPr>
          <w:rFonts w:ascii="Times New Roman" w:eastAsia="Times New Roman" w:hAnsi="Times New Roman" w:cs="Times New Roman"/>
          <w:lang w:val="fr-FR"/>
        </w:rPr>
        <w:t>ssionne sur aucun article pour lequel un prix unitaire ou un montant total n’est pas indiqué. Le format suivant est suggéré :</w:t>
      </w:r>
    </w:p>
    <w:tbl>
      <w:tblPr>
        <w:tblW w:w="10004" w:type="dxa"/>
        <w:jc w:val="center"/>
        <w:tblLook w:val="04A0" w:firstRow="1" w:lastRow="0" w:firstColumn="1" w:lastColumn="0" w:noHBand="0" w:noVBand="1"/>
      </w:tblPr>
      <w:tblGrid>
        <w:gridCol w:w="2970"/>
        <w:gridCol w:w="1590"/>
        <w:gridCol w:w="1728"/>
        <w:gridCol w:w="1184"/>
        <w:gridCol w:w="1123"/>
        <w:gridCol w:w="1409"/>
      </w:tblGrid>
      <w:tr w:rsidR="00D553F8">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446970"/>
            <w:noWrap/>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Description</w:t>
            </w:r>
          </w:p>
        </w:tc>
        <w:tc>
          <w:tcPr>
            <w:tcW w:w="1590" w:type="dxa"/>
            <w:tcBorders>
              <w:top w:val="single" w:sz="4" w:space="0" w:color="auto"/>
              <w:left w:val="nil"/>
              <w:bottom w:val="single" w:sz="4" w:space="0" w:color="auto"/>
              <w:right w:val="single" w:sz="4" w:space="0" w:color="auto"/>
            </w:tcBorders>
            <w:shd w:val="clear" w:color="auto" w:fill="446970"/>
            <w:noWrap/>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Unité</w:t>
            </w:r>
          </w:p>
        </w:tc>
        <w:tc>
          <w:tcPr>
            <w:tcW w:w="1728" w:type="dxa"/>
            <w:tcBorders>
              <w:top w:val="single" w:sz="4" w:space="0" w:color="auto"/>
              <w:left w:val="nil"/>
              <w:bottom w:val="single" w:sz="4" w:space="0" w:color="auto"/>
              <w:right w:val="single" w:sz="4" w:space="0" w:color="auto"/>
            </w:tcBorders>
            <w:shd w:val="clear" w:color="auto" w:fill="446970"/>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Prix unitaire (taxe exclus)</w:t>
            </w:r>
          </w:p>
        </w:tc>
        <w:tc>
          <w:tcPr>
            <w:tcW w:w="1184" w:type="dxa"/>
            <w:tcBorders>
              <w:top w:val="single" w:sz="4" w:space="0" w:color="auto"/>
              <w:left w:val="nil"/>
              <w:bottom w:val="single" w:sz="4" w:space="0" w:color="auto"/>
              <w:right w:val="single" w:sz="4" w:space="0" w:color="auto"/>
            </w:tcBorders>
            <w:shd w:val="clear" w:color="auto" w:fill="446970"/>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 xml:space="preserve">Prix total par </w:t>
            </w:r>
            <w:proofErr w:type="spellStart"/>
            <w:r>
              <w:rPr>
                <w:rFonts w:ascii="Times New Roman" w:eastAsia="Times New Roman" w:hAnsi="Times New Roman" w:cs="Times New Roman"/>
                <w:b/>
                <w:bCs/>
                <w:sz w:val="22"/>
                <w:szCs w:val="22"/>
                <w:lang w:val="fr-FR"/>
              </w:rPr>
              <w:t>unite</w:t>
            </w:r>
            <w:proofErr w:type="spellEnd"/>
          </w:p>
        </w:tc>
        <w:tc>
          <w:tcPr>
            <w:tcW w:w="1123" w:type="dxa"/>
            <w:tcBorders>
              <w:top w:val="single" w:sz="4" w:space="0" w:color="auto"/>
              <w:left w:val="nil"/>
              <w:bottom w:val="single" w:sz="4" w:space="0" w:color="auto"/>
              <w:right w:val="single" w:sz="4" w:space="0" w:color="auto"/>
            </w:tcBorders>
            <w:shd w:val="clear" w:color="auto" w:fill="446970"/>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Nombre d’</w:t>
            </w:r>
            <w:proofErr w:type="spellStart"/>
            <w:r>
              <w:rPr>
                <w:rFonts w:ascii="Times New Roman" w:eastAsia="Times New Roman" w:hAnsi="Times New Roman" w:cs="Times New Roman"/>
                <w:b/>
                <w:bCs/>
                <w:sz w:val="22"/>
                <w:szCs w:val="22"/>
                <w:lang w:val="fr-FR"/>
              </w:rPr>
              <w:t>unites</w:t>
            </w:r>
            <w:proofErr w:type="spellEnd"/>
          </w:p>
        </w:tc>
        <w:tc>
          <w:tcPr>
            <w:tcW w:w="1409" w:type="dxa"/>
            <w:tcBorders>
              <w:top w:val="single" w:sz="4" w:space="0" w:color="auto"/>
              <w:left w:val="nil"/>
              <w:bottom w:val="single" w:sz="4" w:space="0" w:color="auto"/>
              <w:right w:val="single" w:sz="4" w:space="0" w:color="auto"/>
            </w:tcBorders>
            <w:shd w:val="clear" w:color="auto" w:fill="446970"/>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Prix total</w:t>
            </w:r>
          </w:p>
        </w:tc>
      </w:tr>
      <w:tr w:rsidR="00D553F8">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590"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728"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184"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123"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409"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r>
      <w:tr w:rsidR="00D553F8">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590"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728"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184"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123"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409"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r>
      <w:tr w:rsidR="00D553F8">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tcPr>
          <w:p w:rsidR="00D553F8" w:rsidRDefault="00D553F8">
            <w:pPr>
              <w:contextualSpacing/>
              <w:jc w:val="both"/>
              <w:rPr>
                <w:rFonts w:ascii="Times New Roman" w:eastAsia="Times New Roman" w:hAnsi="Times New Roman" w:cs="Times New Roman"/>
                <w:sz w:val="22"/>
                <w:szCs w:val="22"/>
                <w:lang w:val="fr-FR"/>
              </w:rPr>
            </w:pP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D553F8" w:rsidRDefault="00D553F8">
            <w:pPr>
              <w:contextualSpacing/>
              <w:jc w:val="both"/>
              <w:rPr>
                <w:rFonts w:ascii="Times New Roman" w:eastAsia="Times New Roman" w:hAnsi="Times New Roman" w:cs="Times New Roman"/>
                <w:sz w:val="22"/>
                <w:szCs w:val="22"/>
                <w:lang w:val="fr-FR"/>
              </w:rPr>
            </w:pPr>
          </w:p>
        </w:tc>
        <w:tc>
          <w:tcPr>
            <w:tcW w:w="1728" w:type="dxa"/>
            <w:tcBorders>
              <w:top w:val="single" w:sz="4" w:space="0" w:color="auto"/>
              <w:left w:val="nil"/>
              <w:bottom w:val="single" w:sz="4" w:space="0" w:color="auto"/>
              <w:right w:val="single" w:sz="4" w:space="0" w:color="auto"/>
            </w:tcBorders>
            <w:vAlign w:val="center"/>
          </w:tcPr>
          <w:p w:rsidR="00D553F8" w:rsidRDefault="00D553F8">
            <w:pPr>
              <w:contextualSpacing/>
              <w:jc w:val="both"/>
              <w:rPr>
                <w:rFonts w:ascii="Times New Roman" w:eastAsia="Times New Roman" w:hAnsi="Times New Roman" w:cs="Times New Roman"/>
                <w:sz w:val="22"/>
                <w:szCs w:val="22"/>
                <w:lang w:val="fr-FR"/>
              </w:rPr>
            </w:pPr>
          </w:p>
        </w:tc>
        <w:tc>
          <w:tcPr>
            <w:tcW w:w="1184" w:type="dxa"/>
            <w:tcBorders>
              <w:top w:val="single" w:sz="4" w:space="0" w:color="auto"/>
              <w:left w:val="nil"/>
              <w:bottom w:val="single" w:sz="4" w:space="0" w:color="auto"/>
              <w:right w:val="single" w:sz="4" w:space="0" w:color="auto"/>
            </w:tcBorders>
            <w:vAlign w:val="center"/>
          </w:tcPr>
          <w:p w:rsidR="00D553F8" w:rsidRDefault="00D553F8">
            <w:pPr>
              <w:contextualSpacing/>
              <w:jc w:val="both"/>
              <w:rPr>
                <w:rFonts w:ascii="Times New Roman" w:eastAsia="Times New Roman" w:hAnsi="Times New Roman" w:cs="Times New Roman"/>
                <w:sz w:val="22"/>
                <w:szCs w:val="22"/>
                <w:lang w:val="fr-FR"/>
              </w:rPr>
            </w:pPr>
          </w:p>
        </w:tc>
        <w:tc>
          <w:tcPr>
            <w:tcW w:w="1123" w:type="dxa"/>
            <w:tcBorders>
              <w:top w:val="single" w:sz="4" w:space="0" w:color="auto"/>
              <w:left w:val="nil"/>
              <w:bottom w:val="single" w:sz="4" w:space="0" w:color="auto"/>
              <w:right w:val="single" w:sz="4" w:space="0" w:color="auto"/>
            </w:tcBorders>
            <w:vAlign w:val="center"/>
          </w:tcPr>
          <w:p w:rsidR="00D553F8" w:rsidRDefault="00D553F8">
            <w:pPr>
              <w:contextualSpacing/>
              <w:jc w:val="both"/>
              <w:rPr>
                <w:rFonts w:ascii="Times New Roman" w:eastAsia="Times New Roman" w:hAnsi="Times New Roman" w:cs="Times New Roman"/>
                <w:sz w:val="22"/>
                <w:szCs w:val="22"/>
                <w:lang w:val="fr-FR"/>
              </w:rPr>
            </w:pPr>
          </w:p>
        </w:tc>
        <w:tc>
          <w:tcPr>
            <w:tcW w:w="1409" w:type="dxa"/>
            <w:tcBorders>
              <w:top w:val="single" w:sz="4" w:space="0" w:color="auto"/>
              <w:left w:val="nil"/>
              <w:bottom w:val="single" w:sz="4" w:space="0" w:color="auto"/>
              <w:right w:val="single" w:sz="4" w:space="0" w:color="auto"/>
            </w:tcBorders>
            <w:vAlign w:val="center"/>
          </w:tcPr>
          <w:p w:rsidR="00D553F8" w:rsidRDefault="00D553F8">
            <w:pPr>
              <w:contextualSpacing/>
              <w:jc w:val="both"/>
              <w:rPr>
                <w:rFonts w:ascii="Times New Roman" w:eastAsia="Times New Roman" w:hAnsi="Times New Roman" w:cs="Times New Roman"/>
                <w:sz w:val="22"/>
                <w:szCs w:val="22"/>
                <w:lang w:val="fr-FR"/>
              </w:rPr>
            </w:pPr>
          </w:p>
        </w:tc>
      </w:tr>
    </w:tbl>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 xml:space="preserve">S'il y a des </w:t>
      </w:r>
      <w:r>
        <w:rPr>
          <w:rFonts w:ascii="Times New Roman" w:eastAsia="Times New Roman" w:hAnsi="Times New Roman" w:cs="Times New Roman"/>
          <w:sz w:val="22"/>
          <w:szCs w:val="22"/>
          <w:lang w:val="fr-FR"/>
        </w:rPr>
        <w:t>coûts supplémentaires associés aux services demandés, veuillez indiquer ces coûts en conséquence.</w:t>
      </w:r>
      <w:r>
        <w:rPr>
          <w:rFonts w:ascii="Times New Roman" w:eastAsia="Times New Roman" w:hAnsi="Times New Roman" w:cs="Times New Roman"/>
          <w:b/>
          <w:bCs/>
          <w:sz w:val="22"/>
          <w:szCs w:val="22"/>
          <w:lang w:val="fr-FR"/>
        </w:rPr>
        <w:t xml:space="preserve">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Les personnes intéressées de poser leur candidature pour cette consultance devront soumettre à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leur offre au plus tard </w:t>
      </w:r>
      <w:r>
        <w:rPr>
          <w:rFonts w:ascii="Times New Roman" w:eastAsia="Times New Roman" w:hAnsi="Times New Roman" w:cs="Times New Roman"/>
          <w:b/>
          <w:bCs/>
          <w:sz w:val="22"/>
          <w:szCs w:val="22"/>
          <w:u w:val="single"/>
          <w:lang w:val="fr-FR"/>
        </w:rPr>
        <w:t>le</w:t>
      </w:r>
      <w:r>
        <w:rPr>
          <w:rFonts w:ascii="Times New Roman" w:eastAsiaTheme="minorEastAsia" w:hAnsi="Times New Roman" w:cs="Times New Roman"/>
          <w:sz w:val="22"/>
          <w:szCs w:val="22"/>
          <w:lang w:val="fr-FR"/>
        </w:rPr>
        <w:t xml:space="preserve"> 18 Octobre 2024</w:t>
      </w:r>
      <w:r>
        <w:rPr>
          <w:rFonts w:ascii="Times New Roman" w:eastAsia="Times New Roman" w:hAnsi="Times New Roman" w:cs="Times New Roman"/>
          <w:b/>
          <w:bCs/>
          <w:sz w:val="22"/>
          <w:szCs w:val="22"/>
          <w:u w:val="single"/>
          <w:lang w:val="fr-FR"/>
        </w:rPr>
        <w:t xml:space="preserve"> </w:t>
      </w:r>
      <w:proofErr w:type="spellStart"/>
      <w:r>
        <w:rPr>
          <w:rFonts w:ascii="Times New Roman" w:eastAsia="Times New Roman" w:hAnsi="Times New Roman" w:cs="Times New Roman"/>
          <w:b/>
          <w:bCs/>
          <w:sz w:val="22"/>
          <w:szCs w:val="22"/>
          <w:u w:val="single"/>
          <w:lang w:val="fr-FR"/>
        </w:rPr>
        <w:t>a</w:t>
      </w:r>
      <w:proofErr w:type="spellEnd"/>
      <w:r>
        <w:rPr>
          <w:rFonts w:ascii="Times New Roman" w:eastAsia="Times New Roman" w:hAnsi="Times New Roman" w:cs="Times New Roman"/>
          <w:b/>
          <w:bCs/>
          <w:sz w:val="22"/>
          <w:szCs w:val="22"/>
          <w:u w:val="single"/>
          <w:lang w:val="fr-FR"/>
        </w:rPr>
        <w:t xml:space="preserve"> 12h</w:t>
      </w:r>
      <w:r>
        <w:rPr>
          <w:rFonts w:ascii="Times New Roman" w:eastAsia="Times New Roman" w:hAnsi="Times New Roman" w:cs="Times New Roman"/>
          <w:b/>
          <w:bCs/>
          <w:sz w:val="22"/>
          <w:szCs w:val="22"/>
          <w:u w:val="single"/>
          <w:lang w:val="fr-FR"/>
        </w:rPr>
        <w:t xml:space="preserve">r. </w:t>
      </w:r>
      <w:r>
        <w:rPr>
          <w:rFonts w:ascii="Times New Roman" w:eastAsia="Times New Roman" w:hAnsi="Times New Roman" w:cs="Times New Roman"/>
          <w:sz w:val="22"/>
          <w:szCs w:val="22"/>
          <w:lang w:val="fr-FR"/>
        </w:rPr>
        <w:t xml:space="preserve"> Elles sont priées d’envoyer un dossier constitué des éléments suivants :  </w:t>
      </w:r>
    </w:p>
    <w:p w:rsidR="00D553F8" w:rsidRDefault="00D553F8">
      <w:pPr>
        <w:ind w:left="180"/>
        <w:contextualSpacing/>
        <w:jc w:val="both"/>
        <w:rPr>
          <w:rFonts w:ascii="Times New Roman" w:eastAsia="Times New Roman" w:hAnsi="Times New Roman" w:cs="Times New Roman"/>
          <w:sz w:val="22"/>
          <w:szCs w:val="22"/>
          <w:lang w:val="fr-FR"/>
        </w:rPr>
      </w:pPr>
    </w:p>
    <w:p w:rsidR="00D553F8" w:rsidRDefault="003461E1">
      <w:pPr>
        <w:pStyle w:val="Paragraphedeliste"/>
        <w:numPr>
          <w:ilvl w:val="0"/>
          <w:numId w:val="15"/>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lastRenderedPageBreak/>
        <w:t xml:space="preserve">Dossier technique de maximum 5 pages (Arial 12, interligne simple) présentant : </w:t>
      </w:r>
    </w:p>
    <w:p w:rsidR="00D553F8" w:rsidRDefault="003461E1">
      <w:pPr>
        <w:pStyle w:val="Paragraphedeliste"/>
        <w:numPr>
          <w:ilvl w:val="1"/>
          <w:numId w:val="15"/>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Une méthodologie générale pour la conception du module.</w:t>
      </w:r>
    </w:p>
    <w:p w:rsidR="00D553F8" w:rsidRDefault="003461E1">
      <w:pPr>
        <w:pStyle w:val="Paragraphedeliste"/>
        <w:numPr>
          <w:ilvl w:val="1"/>
          <w:numId w:val="15"/>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L’expérience passée dans les domaines de la consultance. </w:t>
      </w:r>
    </w:p>
    <w:p w:rsidR="00D553F8" w:rsidRDefault="003461E1">
      <w:pPr>
        <w:pStyle w:val="Paragraphedeliste"/>
        <w:numPr>
          <w:ilvl w:val="0"/>
          <w:numId w:val="15"/>
        </w:numPr>
        <w:spacing w:after="0" w:line="240" w:lineRule="auto"/>
        <w:jc w:val="both"/>
        <w:rPr>
          <w:rFonts w:ascii="Times New Roman" w:eastAsia="Times New Roman" w:hAnsi="Times New Roman" w:cs="Times New Roman"/>
          <w:b/>
          <w:bCs/>
          <w:lang w:val="fr-FR"/>
        </w:rPr>
      </w:pPr>
      <w:r>
        <w:rPr>
          <w:rFonts w:ascii="Times New Roman" w:eastAsia="Times New Roman" w:hAnsi="Times New Roman" w:cs="Times New Roman"/>
          <w:lang w:val="fr-FR"/>
        </w:rPr>
        <w:t>Une proposition financière pour les honoraires de la consultance</w:t>
      </w:r>
    </w:p>
    <w:p w:rsidR="00D553F8" w:rsidRDefault="003461E1">
      <w:pPr>
        <w:pStyle w:val="Paragraphedeliste"/>
        <w:numPr>
          <w:ilvl w:val="0"/>
          <w:numId w:val="15"/>
        </w:numPr>
        <w:spacing w:after="0" w:line="240" w:lineRule="auto"/>
        <w:jc w:val="both"/>
        <w:rPr>
          <w:rFonts w:ascii="Times New Roman" w:eastAsia="Times New Roman" w:hAnsi="Times New Roman" w:cs="Times New Roman"/>
          <w:b/>
          <w:bCs/>
          <w:lang w:val="fr-FR"/>
        </w:rPr>
      </w:pPr>
      <w:proofErr w:type="spellStart"/>
      <w:r>
        <w:t>L’offre</w:t>
      </w:r>
      <w:proofErr w:type="spellEnd"/>
      <w:r>
        <w:t xml:space="preserve"> </w:t>
      </w:r>
      <w:proofErr w:type="spellStart"/>
      <w:r>
        <w:t>doit</w:t>
      </w:r>
      <w:proofErr w:type="spellEnd"/>
      <w:r>
        <w:t xml:space="preserve"> </w:t>
      </w:r>
      <w:proofErr w:type="spellStart"/>
      <w:r>
        <w:t>être</w:t>
      </w:r>
      <w:proofErr w:type="spellEnd"/>
      <w:r>
        <w:t xml:space="preserve"> </w:t>
      </w:r>
      <w:proofErr w:type="spellStart"/>
      <w:r>
        <w:t>soumise</w:t>
      </w:r>
      <w:proofErr w:type="spellEnd"/>
      <w:r>
        <w:t xml:space="preserve"> sous </w:t>
      </w:r>
      <w:proofErr w:type="spellStart"/>
      <w:r>
        <w:t>pli</w:t>
      </w:r>
      <w:proofErr w:type="spellEnd"/>
      <w:r>
        <w:t xml:space="preserve"> </w:t>
      </w:r>
      <w:proofErr w:type="spellStart"/>
      <w:r>
        <w:t>ferme</w:t>
      </w:r>
      <w:proofErr w:type="spellEnd"/>
      <w:r>
        <w:t xml:space="preserve"> avec le </w:t>
      </w:r>
      <w:proofErr w:type="spellStart"/>
      <w:r>
        <w:t>titre</w:t>
      </w:r>
      <w:proofErr w:type="spellEnd"/>
      <w:r>
        <w:t xml:space="preserve"> de </w:t>
      </w:r>
      <w:proofErr w:type="spellStart"/>
      <w:r>
        <w:t>l’appel</w:t>
      </w:r>
      <w:proofErr w:type="spellEnd"/>
      <w:r>
        <w:t xml:space="preserve"> </w:t>
      </w:r>
      <w:proofErr w:type="spellStart"/>
      <w:r>
        <w:t>d’offre</w:t>
      </w:r>
      <w:proofErr w:type="spellEnd"/>
      <w:r>
        <w:br/>
      </w: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CRITERES D'EVALUATION ET ATTRIBUTION</w:t>
      </w:r>
    </w:p>
    <w:p w:rsidR="00D553F8" w:rsidRDefault="003461E1">
      <w:pPr>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b/>
          <w:bCs/>
          <w:color w:val="000000" w:themeColor="text1"/>
          <w:sz w:val="22"/>
          <w:szCs w:val="22"/>
          <w:lang w:val="fr-FR"/>
        </w:rPr>
        <w:t>Critère 1 : La Qualit</w:t>
      </w:r>
      <w:r>
        <w:rPr>
          <w:rFonts w:ascii="Times New Roman" w:eastAsia="Times New Roman" w:hAnsi="Times New Roman" w:cs="Times New Roman"/>
          <w:b/>
          <w:bCs/>
          <w:color w:val="000000" w:themeColor="text1"/>
          <w:sz w:val="22"/>
          <w:szCs w:val="22"/>
          <w:lang w:val="fr-FR"/>
        </w:rPr>
        <w:t>é de l’approche méthodologique (40 points)</w:t>
      </w:r>
      <w:r>
        <w:rPr>
          <w:rFonts w:ascii="Times New Roman" w:eastAsia="Times New Roman" w:hAnsi="Times New Roman" w:cs="Times New Roman"/>
          <w:color w:val="000000" w:themeColor="text1"/>
          <w:sz w:val="22"/>
          <w:szCs w:val="22"/>
          <w:lang w:val="fr-FR"/>
        </w:rPr>
        <w:t xml:space="preserve">. En particulier les points suivants seront évalués :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La démonstration de la compréhension des objectifs et résultats attendus de la consultance.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La </w:t>
      </w:r>
      <w:proofErr w:type="spellStart"/>
      <w:r>
        <w:rPr>
          <w:rFonts w:ascii="Times New Roman" w:eastAsia="Times New Roman" w:hAnsi="Times New Roman" w:cs="Times New Roman"/>
          <w:color w:val="000000" w:themeColor="text1"/>
        </w:rPr>
        <w:t>compréhension</w:t>
      </w:r>
      <w:proofErr w:type="spellEnd"/>
      <w:r>
        <w:rPr>
          <w:rFonts w:ascii="Times New Roman" w:eastAsia="Times New Roman" w:hAnsi="Times New Roman" w:cs="Times New Roman"/>
          <w:color w:val="000000" w:themeColor="text1"/>
        </w:rPr>
        <w:t xml:space="preserve"> de la situation </w:t>
      </w:r>
      <w:proofErr w:type="gramStart"/>
      <w:r>
        <w:rPr>
          <w:rFonts w:ascii="Times New Roman" w:eastAsia="Times New Roman" w:hAnsi="Times New Roman" w:cs="Times New Roman"/>
          <w:color w:val="000000" w:themeColor="text1"/>
        </w:rPr>
        <w:t>et</w:t>
      </w:r>
      <w:proofErr w:type="gramEnd"/>
      <w:r>
        <w:rPr>
          <w:rFonts w:ascii="Times New Roman" w:eastAsia="Times New Roman" w:hAnsi="Times New Roman" w:cs="Times New Roman"/>
          <w:color w:val="000000" w:themeColor="text1"/>
        </w:rPr>
        <w:t xml:space="preserve"> des </w:t>
      </w:r>
      <w:proofErr w:type="spellStart"/>
      <w:r>
        <w:rPr>
          <w:rFonts w:ascii="Times New Roman" w:eastAsia="Times New Roman" w:hAnsi="Times New Roman" w:cs="Times New Roman"/>
          <w:color w:val="000000" w:themeColor="text1"/>
        </w:rPr>
        <w:t>défis</w:t>
      </w:r>
      <w:proofErr w:type="spellEnd"/>
      <w:r>
        <w:rPr>
          <w:rFonts w:ascii="Times New Roman" w:eastAsia="Times New Roman" w:hAnsi="Times New Roman" w:cs="Times New Roman"/>
          <w:color w:val="000000" w:themeColor="text1"/>
        </w:rPr>
        <w:t xml:space="preserve"> des OSCs et en </w:t>
      </w:r>
      <w:proofErr w:type="spellStart"/>
      <w:r>
        <w:rPr>
          <w:rFonts w:ascii="Times New Roman" w:eastAsia="Times New Roman" w:hAnsi="Times New Roman" w:cs="Times New Roman"/>
          <w:color w:val="000000" w:themeColor="text1"/>
        </w:rPr>
        <w:t>particulier</w:t>
      </w:r>
      <w:proofErr w:type="spellEnd"/>
      <w:r>
        <w:rPr>
          <w:rFonts w:ascii="Times New Roman" w:eastAsia="Times New Roman" w:hAnsi="Times New Roman" w:cs="Times New Roman"/>
          <w:color w:val="000000" w:themeColor="text1"/>
        </w:rPr>
        <w:t xml:space="preserve"> des OSJs.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L’adéquation de la méthodologie proposée aux besoins de la consultance.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 réalisme du calendrier de mise en œuvre. </w:t>
      </w:r>
    </w:p>
    <w:p w:rsidR="00D553F8" w:rsidRDefault="00D553F8">
      <w:pPr>
        <w:pStyle w:val="Paragraphedeliste"/>
        <w:spacing w:after="0" w:line="240" w:lineRule="auto"/>
        <w:ind w:left="900"/>
        <w:jc w:val="both"/>
        <w:rPr>
          <w:rFonts w:ascii="Times New Roman" w:eastAsia="Times New Roman" w:hAnsi="Times New Roman" w:cs="Times New Roman"/>
          <w:color w:val="000000" w:themeColor="text1"/>
          <w:lang w:val="fr-FR"/>
        </w:rPr>
      </w:pPr>
    </w:p>
    <w:p w:rsidR="00D553F8" w:rsidRDefault="003461E1">
      <w:pPr>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b/>
          <w:bCs/>
          <w:color w:val="000000" w:themeColor="text1"/>
          <w:sz w:val="22"/>
          <w:szCs w:val="22"/>
          <w:lang w:val="fr-FR"/>
        </w:rPr>
        <w:t xml:space="preserve">Critère 2 : Qualification du/des Consultant(es) </w:t>
      </w:r>
      <w:r>
        <w:rPr>
          <w:rFonts w:ascii="Times New Roman" w:eastAsia="Times New Roman" w:hAnsi="Times New Roman" w:cs="Times New Roman"/>
          <w:b/>
          <w:bCs/>
          <w:color w:val="000000" w:themeColor="text1"/>
          <w:sz w:val="22"/>
          <w:szCs w:val="22"/>
          <w:lang w:val="fr-FR"/>
        </w:rPr>
        <w:t>(40 points)</w:t>
      </w:r>
      <w:r>
        <w:rPr>
          <w:rFonts w:ascii="Times New Roman" w:eastAsia="Times New Roman" w:hAnsi="Times New Roman" w:cs="Times New Roman"/>
          <w:color w:val="000000" w:themeColor="text1"/>
          <w:sz w:val="22"/>
          <w:szCs w:val="22"/>
          <w:lang w:val="fr-FR"/>
        </w:rPr>
        <w:t xml:space="preserve">.  En particulier les points suivants seront évalués :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La démonstration d’une expérience formelle et pertinente dans l’élaboration et mise en œuvre de plans de renforcement de capacités des OSJ ou OSC en Mauritanie ou contexte similaire.</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Bonne </w:t>
      </w:r>
      <w:r>
        <w:rPr>
          <w:rFonts w:ascii="Times New Roman" w:eastAsia="Times New Roman" w:hAnsi="Times New Roman" w:cs="Times New Roman"/>
          <w:color w:val="000000" w:themeColor="text1"/>
          <w:lang w:val="fr-FR"/>
        </w:rPr>
        <w:t xml:space="preserve">connaissance de la question des </w:t>
      </w:r>
      <w:proofErr w:type="spellStart"/>
      <w:r>
        <w:rPr>
          <w:rFonts w:ascii="Times New Roman" w:eastAsia="Times New Roman" w:hAnsi="Times New Roman" w:cs="Times New Roman"/>
          <w:color w:val="000000" w:themeColor="text1"/>
          <w:lang w:val="fr-FR"/>
        </w:rPr>
        <w:t>OSCs</w:t>
      </w:r>
      <w:proofErr w:type="spellEnd"/>
      <w:r>
        <w:rPr>
          <w:rFonts w:ascii="Times New Roman" w:eastAsia="Times New Roman" w:hAnsi="Times New Roman" w:cs="Times New Roman"/>
          <w:color w:val="000000" w:themeColor="text1"/>
          <w:lang w:val="fr-FR"/>
        </w:rPr>
        <w:t xml:space="preserve"> dans le contexte mauritanien.</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Compétences et expériences nécessaires à la réalisation de la consultance.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Connaissance des questions liées au développement des capacités organisationnelles des organisations à faible cap</w:t>
      </w:r>
      <w:r>
        <w:rPr>
          <w:rFonts w:ascii="Times New Roman" w:eastAsia="Times New Roman" w:hAnsi="Times New Roman" w:cs="Times New Roman"/>
          <w:color w:val="000000" w:themeColor="text1"/>
          <w:lang w:val="fr-FR"/>
        </w:rPr>
        <w:t>acité.</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Expériences pratiques pertinentes dans le domaine de la consultance (société civile, appui technique et institutionnel et formation des jeunes). </w:t>
      </w:r>
    </w:p>
    <w:p w:rsidR="00D553F8" w:rsidRDefault="00D553F8">
      <w:pPr>
        <w:contextualSpacing/>
        <w:jc w:val="both"/>
        <w:rPr>
          <w:rFonts w:ascii="Times New Roman" w:eastAsia="Times New Roman" w:hAnsi="Times New Roman" w:cs="Times New Roman"/>
          <w:color w:val="000000" w:themeColor="text1"/>
          <w:sz w:val="22"/>
          <w:szCs w:val="22"/>
          <w:lang w:val="fr-FR"/>
        </w:rPr>
      </w:pPr>
    </w:p>
    <w:p w:rsidR="00D553F8" w:rsidRDefault="003461E1">
      <w:pPr>
        <w:ind w:left="180"/>
        <w:contextualSpacing/>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b/>
          <w:bCs/>
          <w:color w:val="000000" w:themeColor="text1"/>
          <w:sz w:val="22"/>
          <w:szCs w:val="22"/>
          <w:lang w:val="fr-FR"/>
        </w:rPr>
        <w:t xml:space="preserve">Critère 3 : offre financière (20 points) </w:t>
      </w:r>
      <w:r>
        <w:rPr>
          <w:rFonts w:ascii="Times New Roman" w:hAnsi="Times New Roman" w:cs="Times New Roman"/>
          <w:sz w:val="22"/>
          <w:szCs w:val="22"/>
          <w:lang w:val="fr-FR"/>
        </w:rPr>
        <w:br/>
      </w:r>
      <w:r>
        <w:rPr>
          <w:rFonts w:ascii="Times New Roman" w:eastAsia="Times New Roman" w:hAnsi="Times New Roman" w:cs="Times New Roman"/>
          <w:color w:val="000000" w:themeColor="text1"/>
          <w:sz w:val="22"/>
          <w:szCs w:val="22"/>
          <w:lang w:val="fr-FR"/>
        </w:rPr>
        <w:t>Les offres financières ne seront consultées que pour les pro</w:t>
      </w:r>
      <w:r>
        <w:rPr>
          <w:rFonts w:ascii="Times New Roman" w:eastAsia="Times New Roman" w:hAnsi="Times New Roman" w:cs="Times New Roman"/>
          <w:color w:val="000000" w:themeColor="text1"/>
          <w:sz w:val="22"/>
          <w:szCs w:val="22"/>
          <w:lang w:val="fr-FR"/>
        </w:rPr>
        <w:t xml:space="preserve">positions techniques jugées acceptables par le comité, c’est-à-dire celles ayant obtenu un total d’au moins 50 points pour les critères 1 et 2. Les critères d’évaluation sont les suivants : </w:t>
      </w:r>
    </w:p>
    <w:p w:rsidR="00D553F8" w:rsidRDefault="003461E1">
      <w:pPr>
        <w:pStyle w:val="Paragraphedeliste"/>
        <w:numPr>
          <w:ilvl w:val="0"/>
          <w:numId w:val="16"/>
        </w:numPr>
        <w:spacing w:before="240"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Réalisme de l’offre financière (compétitivité des tarifs proposés</w:t>
      </w:r>
      <w:r>
        <w:rPr>
          <w:rFonts w:ascii="Times New Roman" w:eastAsia="Times New Roman" w:hAnsi="Times New Roman" w:cs="Times New Roman"/>
          <w:color w:val="000000" w:themeColor="text1"/>
          <w:lang w:val="fr-FR"/>
        </w:rPr>
        <w:t>)</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Rapport qualité prix.</w:t>
      </w:r>
    </w:p>
    <w:p w:rsidR="00D553F8" w:rsidRDefault="00D553F8">
      <w:pPr>
        <w:suppressAutoHyphens/>
        <w:ind w:left="360"/>
        <w:contextualSpacing/>
        <w:jc w:val="both"/>
        <w:rPr>
          <w:rFonts w:ascii="Times New Roman" w:eastAsia="Times New Roman" w:hAnsi="Times New Roman" w:cs="Times New Roman"/>
          <w:b/>
          <w:bCs/>
          <w:sz w:val="22"/>
          <w:szCs w:val="22"/>
          <w:lang w:val="fr-FR"/>
        </w:rPr>
      </w:pPr>
    </w:p>
    <w:p w:rsidR="00D553F8" w:rsidRDefault="003461E1">
      <w:pPr>
        <w:pStyle w:val="Paragraphedeliste"/>
        <w:spacing w:line="240" w:lineRule="auto"/>
        <w:ind w:left="0"/>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Veuillez noter que s'il existe des lacunes importantes en ce qui concerne le respect des exigences de la présente demande d'offre, une offre peut être jugée « non conforme » et, par conséquent, </w:t>
      </w:r>
      <w:proofErr w:type="spellStart"/>
      <w:r>
        <w:rPr>
          <w:rFonts w:ascii="Times New Roman" w:eastAsia="Times New Roman" w:hAnsi="Times New Roman" w:cs="Times New Roman"/>
          <w:lang w:val="fr-FR"/>
        </w:rPr>
        <w:t>Counterpart</w:t>
      </w:r>
      <w:proofErr w:type="spellEnd"/>
      <w:r>
        <w:rPr>
          <w:rFonts w:ascii="Times New Roman" w:eastAsia="Times New Roman" w:hAnsi="Times New Roman" w:cs="Times New Roman"/>
          <w:lang w:val="fr-FR"/>
        </w:rPr>
        <w:t xml:space="preserve"> se réserve le droit </w:t>
      </w:r>
      <w:r>
        <w:rPr>
          <w:rFonts w:ascii="Times New Roman" w:eastAsia="Times New Roman" w:hAnsi="Times New Roman" w:cs="Times New Roman"/>
          <w:lang w:val="fr-FR"/>
        </w:rPr>
        <w:t xml:space="preserve">d'exclure le soumissionnaire. </w:t>
      </w:r>
      <w:proofErr w:type="spellStart"/>
      <w:r>
        <w:rPr>
          <w:rFonts w:ascii="Times New Roman" w:eastAsia="Times New Roman" w:hAnsi="Times New Roman" w:cs="Times New Roman"/>
          <w:lang w:val="fr-FR"/>
        </w:rPr>
        <w:t>Counterpart</w:t>
      </w:r>
      <w:proofErr w:type="spellEnd"/>
      <w:r>
        <w:rPr>
          <w:rFonts w:ascii="Times New Roman" w:eastAsia="Times New Roman" w:hAnsi="Times New Roman" w:cs="Times New Roman"/>
          <w:lang w:val="fr-FR"/>
        </w:rPr>
        <w:t xml:space="preserve"> se réserve le droit de renoncer aux déficiences non significatives à sa discrétion.</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Les meilleures offres sont demandées. Il est prévu que l'attribution sera faite uniquement sur la base des offres. Toutefois, </w:t>
      </w:r>
      <w:proofErr w:type="spellStart"/>
      <w:r>
        <w:rPr>
          <w:rFonts w:ascii="Times New Roman" w:eastAsia="Times New Roman" w:hAnsi="Times New Roman" w:cs="Times New Roman"/>
          <w:sz w:val="22"/>
          <w:szCs w:val="22"/>
          <w:lang w:val="fr-FR"/>
        </w:rPr>
        <w:t>Coun</w:t>
      </w:r>
      <w:r>
        <w:rPr>
          <w:rFonts w:ascii="Times New Roman" w:eastAsia="Times New Roman" w:hAnsi="Times New Roman" w:cs="Times New Roman"/>
          <w:sz w:val="22"/>
          <w:szCs w:val="22"/>
          <w:lang w:val="fr-FR"/>
        </w:rPr>
        <w:t>terpart</w:t>
      </w:r>
      <w:proofErr w:type="spellEnd"/>
      <w:r>
        <w:rPr>
          <w:rFonts w:ascii="Times New Roman" w:eastAsia="Times New Roman" w:hAnsi="Times New Roman" w:cs="Times New Roman"/>
          <w:sz w:val="22"/>
          <w:szCs w:val="22"/>
          <w:lang w:val="fr-FR"/>
        </w:rPr>
        <w:t xml:space="preserve"> se réserve le droit de procéder comme suit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pStyle w:val="Paragraphedeliste"/>
        <w:numPr>
          <w:ilvl w:val="0"/>
          <w:numId w:val="17"/>
        </w:numPr>
        <w:spacing w:line="240" w:lineRule="auto"/>
        <w:jc w:val="both"/>
        <w:rPr>
          <w:rFonts w:ascii="Times New Roman" w:eastAsia="Times New Roman" w:hAnsi="Times New Roman" w:cs="Times New Roman"/>
          <w:lang w:val="fr-FR"/>
        </w:rPr>
      </w:pPr>
      <w:proofErr w:type="spellStart"/>
      <w:r>
        <w:rPr>
          <w:rFonts w:ascii="Times New Roman" w:eastAsia="Times New Roman" w:hAnsi="Times New Roman" w:cs="Times New Roman"/>
          <w:lang w:val="fr-FR"/>
        </w:rPr>
        <w:t>Counterpart</w:t>
      </w:r>
      <w:proofErr w:type="spellEnd"/>
      <w:r>
        <w:rPr>
          <w:rFonts w:ascii="Times New Roman" w:eastAsia="Times New Roman" w:hAnsi="Times New Roman" w:cs="Times New Roman"/>
          <w:lang w:val="fr-FR"/>
        </w:rPr>
        <w:t xml:space="preserve"> peut mener des négociations et/ou demander des éclaircissements à tout soumissionnaire avant l’attribution du marché. </w:t>
      </w:r>
    </w:p>
    <w:p w:rsidR="00D553F8" w:rsidRDefault="003461E1">
      <w:pPr>
        <w:pStyle w:val="Paragraphedeliste"/>
        <w:numPr>
          <w:ilvl w:val="0"/>
          <w:numId w:val="17"/>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Bien que la préférence soit accordée aux soumissionnaires qui peuvent r</w:t>
      </w:r>
      <w:r>
        <w:rPr>
          <w:rFonts w:ascii="Times New Roman" w:eastAsia="Times New Roman" w:hAnsi="Times New Roman" w:cs="Times New Roman"/>
          <w:lang w:val="fr-FR"/>
        </w:rPr>
        <w:t xml:space="preserve">épondre à toutes les exigences techniques du présent avis d’appel d'offres, </w:t>
      </w:r>
      <w:proofErr w:type="spellStart"/>
      <w:r>
        <w:rPr>
          <w:rFonts w:ascii="Times New Roman" w:eastAsia="Times New Roman" w:hAnsi="Times New Roman" w:cs="Times New Roman"/>
          <w:lang w:val="fr-FR"/>
        </w:rPr>
        <w:t>Counterpart</w:t>
      </w:r>
      <w:proofErr w:type="spellEnd"/>
      <w:r>
        <w:rPr>
          <w:rFonts w:ascii="Times New Roman" w:eastAsia="Times New Roman" w:hAnsi="Times New Roman" w:cs="Times New Roman"/>
          <w:lang w:val="fr-FR"/>
        </w:rPr>
        <w:t xml:space="preserve"> peut attribuer une attribution partielle ou fractionner l'attribution entre différents soumissionnaires, si cela est dans son intérêt.</w:t>
      </w:r>
    </w:p>
    <w:p w:rsidR="00D553F8" w:rsidRDefault="003461E1">
      <w:pPr>
        <w:pStyle w:val="Paragraphedeliste"/>
        <w:numPr>
          <w:ilvl w:val="0"/>
          <w:numId w:val="17"/>
        </w:numPr>
        <w:spacing w:line="240" w:lineRule="auto"/>
        <w:jc w:val="both"/>
        <w:rPr>
          <w:rFonts w:ascii="Times New Roman" w:eastAsia="Times New Roman" w:hAnsi="Times New Roman" w:cs="Times New Roman"/>
          <w:lang w:val="fr-FR"/>
        </w:rPr>
      </w:pPr>
      <w:proofErr w:type="spellStart"/>
      <w:r>
        <w:rPr>
          <w:rFonts w:ascii="Times New Roman" w:eastAsia="Times New Roman" w:hAnsi="Times New Roman" w:cs="Times New Roman"/>
          <w:lang w:val="fr-FR"/>
        </w:rPr>
        <w:t>Counterpart</w:t>
      </w:r>
      <w:proofErr w:type="spellEnd"/>
      <w:r>
        <w:rPr>
          <w:rFonts w:ascii="Times New Roman" w:eastAsia="Times New Roman" w:hAnsi="Times New Roman" w:cs="Times New Roman"/>
          <w:lang w:val="fr-FR"/>
        </w:rPr>
        <w:t xml:space="preserve"> peut annuler cet avis</w:t>
      </w:r>
      <w:r>
        <w:rPr>
          <w:rFonts w:ascii="Times New Roman" w:eastAsia="Times New Roman" w:hAnsi="Times New Roman" w:cs="Times New Roman"/>
          <w:lang w:val="fr-FR"/>
        </w:rPr>
        <w:t xml:space="preserve"> d’appel d’offres à tout moment.</w:t>
      </w:r>
    </w:p>
    <w:p w:rsidR="00D553F8" w:rsidRDefault="003461E1">
      <w:pPr>
        <w:pStyle w:val="Paragraphedeliste"/>
        <w:numPr>
          <w:ilvl w:val="0"/>
          <w:numId w:val="17"/>
        </w:numPr>
        <w:spacing w:line="240" w:lineRule="auto"/>
        <w:jc w:val="both"/>
        <w:rPr>
          <w:rFonts w:ascii="Times New Roman" w:eastAsia="Times New Roman" w:hAnsi="Times New Roman" w:cs="Times New Roman"/>
          <w:lang w:val="fr-FR"/>
        </w:rPr>
      </w:pPr>
      <w:proofErr w:type="spellStart"/>
      <w:r>
        <w:rPr>
          <w:rFonts w:ascii="Times New Roman" w:eastAsia="Times New Roman" w:hAnsi="Times New Roman" w:cs="Times New Roman"/>
          <w:lang w:val="fr-FR"/>
        </w:rPr>
        <w:t>Counterpart</w:t>
      </w:r>
      <w:proofErr w:type="spellEnd"/>
      <w:r>
        <w:rPr>
          <w:rFonts w:ascii="Times New Roman" w:eastAsia="Times New Roman" w:hAnsi="Times New Roman" w:cs="Times New Roman"/>
          <w:lang w:val="fr-FR"/>
        </w:rPr>
        <w:t xml:space="preserve"> se réserve le droit d'accepter ou de rejeter toute offre pour un motif ou sans motif.</w:t>
      </w:r>
    </w:p>
    <w:p w:rsidR="00D553F8" w:rsidRDefault="003461E1">
      <w:pPr>
        <w:pStyle w:val="Paragraphedeliste"/>
        <w:numPr>
          <w:ilvl w:val="0"/>
          <w:numId w:val="17"/>
        </w:numPr>
        <w:spacing w:line="240" w:lineRule="auto"/>
        <w:jc w:val="both"/>
        <w:rPr>
          <w:rFonts w:ascii="Times New Roman" w:eastAsia="Times New Roman" w:hAnsi="Times New Roman" w:cs="Times New Roman"/>
          <w:b/>
          <w:bCs/>
          <w:lang w:val="fr-FR"/>
        </w:rPr>
      </w:pPr>
      <w:r>
        <w:rPr>
          <w:rFonts w:ascii="Times New Roman" w:eastAsia="Times New Roman" w:hAnsi="Times New Roman" w:cs="Times New Roman"/>
          <w:lang w:val="fr-FR"/>
        </w:rPr>
        <w:t xml:space="preserve">Les </w:t>
      </w:r>
      <w:proofErr w:type="spellStart"/>
      <w:r>
        <w:rPr>
          <w:rFonts w:ascii="Times New Roman" w:eastAsia="Times New Roman" w:hAnsi="Times New Roman" w:cs="Times New Roman"/>
          <w:lang w:val="fr-FR"/>
        </w:rPr>
        <w:t>soumissionaires</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preselectionnés</w:t>
      </w:r>
      <w:proofErr w:type="spellEnd"/>
      <w:r>
        <w:rPr>
          <w:rFonts w:ascii="Times New Roman" w:eastAsia="Times New Roman" w:hAnsi="Times New Roman" w:cs="Times New Roman"/>
          <w:lang w:val="fr-FR"/>
        </w:rPr>
        <w:t xml:space="preserve"> peuvent être invités à un entretien si nécessaire.</w:t>
      </w:r>
      <w:bookmarkStart w:id="8" w:name="_Hlk511206007"/>
      <w:bookmarkStart w:id="9" w:name="_Toc448307068"/>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u w:val="single"/>
          <w:lang w:val="fr-FR"/>
        </w:rPr>
        <w:t xml:space="preserve">Section B : </w:t>
      </w:r>
      <w:bookmarkEnd w:id="8"/>
      <w:bookmarkEnd w:id="9"/>
      <w:proofErr w:type="spellStart"/>
      <w:r>
        <w:rPr>
          <w:rFonts w:ascii="Times New Roman" w:eastAsia="Times New Roman" w:hAnsi="Times New Roman" w:cs="Times New Roman"/>
          <w:b/>
          <w:bCs/>
          <w:sz w:val="22"/>
          <w:szCs w:val="22"/>
          <w:u w:val="single"/>
          <w:lang w:val="fr-FR"/>
        </w:rPr>
        <w:t>Specifications</w:t>
      </w:r>
      <w:proofErr w:type="spellEnd"/>
      <w:r>
        <w:rPr>
          <w:rFonts w:ascii="Times New Roman" w:eastAsia="Times New Roman" w:hAnsi="Times New Roman" w:cs="Times New Roman"/>
          <w:b/>
          <w:bCs/>
          <w:sz w:val="22"/>
          <w:szCs w:val="22"/>
          <w:u w:val="single"/>
          <w:lang w:val="fr-FR"/>
        </w:rPr>
        <w:t xml:space="preserve"> techniques</w:t>
      </w:r>
    </w:p>
    <w:p w:rsidR="00D553F8" w:rsidRDefault="003461E1">
      <w:pPr>
        <w:pStyle w:val="Paragraphedeliste"/>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Counterpart met en </w:t>
      </w:r>
      <w:proofErr w:type="spellStart"/>
      <w:r>
        <w:rPr>
          <w:rFonts w:ascii="Times New Roman" w:eastAsia="Times New Roman" w:hAnsi="Times New Roman" w:cs="Times New Roman"/>
        </w:rPr>
        <w:t>œuvre</w:t>
      </w:r>
      <w:proofErr w:type="spellEnd"/>
      <w:r>
        <w:rPr>
          <w:rFonts w:ascii="Times New Roman" w:eastAsia="Times New Roman" w:hAnsi="Times New Roman" w:cs="Times New Roman"/>
        </w:rPr>
        <w:t xml:space="preserve"> le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Nafoore</w:t>
      </w:r>
      <w:proofErr w:type="spellEnd"/>
      <w:r>
        <w:rPr>
          <w:rFonts w:ascii="Times New Roman" w:eastAsia="Times New Roman" w:hAnsi="Times New Roman" w:cs="Times New Roman"/>
        </w:rPr>
        <w:t xml:space="preserve"> en </w:t>
      </w:r>
      <w:proofErr w:type="spellStart"/>
      <w:r>
        <w:rPr>
          <w:rFonts w:ascii="Times New Roman" w:eastAsia="Times New Roman" w:hAnsi="Times New Roman" w:cs="Times New Roman"/>
        </w:rPr>
        <w:t>partenariat</w:t>
      </w:r>
      <w:proofErr w:type="spellEnd"/>
      <w:r>
        <w:rPr>
          <w:rFonts w:ascii="Times New Roman" w:eastAsia="Times New Roman" w:hAnsi="Times New Roman" w:cs="Times New Roman"/>
        </w:rPr>
        <w:t xml:space="preserve"> avec Mercy Corps </w:t>
      </w:r>
      <w:proofErr w:type="gramStart"/>
      <w:r>
        <w:rPr>
          <w:rFonts w:ascii="Times New Roman" w:eastAsia="Times New Roman" w:hAnsi="Times New Roman" w:cs="Times New Roman"/>
        </w:rPr>
        <w:t>et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financé</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l’USAID</w:t>
      </w:r>
      <w:proofErr w:type="spellEnd"/>
      <w:r>
        <w:rPr>
          <w:rFonts w:ascii="Times New Roman" w:eastAsia="Times New Roman" w:hAnsi="Times New Roman" w:cs="Times New Roman"/>
        </w:rPr>
        <w:t xml:space="preserve">.  </w:t>
      </w:r>
    </w:p>
    <w:p w:rsidR="00D553F8" w:rsidRDefault="003461E1">
      <w:pPr>
        <w:pStyle w:val="Paragraphedeliste"/>
        <w:numPr>
          <w:ilvl w:val="0"/>
          <w:numId w:val="18"/>
        </w:numPr>
        <w:autoSpaceDE w:val="0"/>
        <w:autoSpaceDN w:val="0"/>
        <w:adjustRightInd w:val="0"/>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Le contractant devra avoir une connaissance et une expérience de fourniture de ce type de service requis par les organisations internationales non gouve</w:t>
      </w:r>
      <w:r>
        <w:rPr>
          <w:rFonts w:ascii="Times New Roman" w:eastAsia="Times New Roman" w:hAnsi="Times New Roman" w:cs="Times New Roman"/>
          <w:lang w:val="fr-FR"/>
        </w:rPr>
        <w:t>rnementales opérant en Mauritanie.</w:t>
      </w:r>
    </w:p>
    <w:p w:rsidR="00D553F8" w:rsidRDefault="00D553F8">
      <w:pPr>
        <w:autoSpaceDE w:val="0"/>
        <w:autoSpaceDN w:val="0"/>
        <w:adjustRightInd w:val="0"/>
        <w:contextualSpacing/>
        <w:jc w:val="both"/>
        <w:rPr>
          <w:rFonts w:ascii="Times New Roman" w:eastAsia="Times New Roman" w:hAnsi="Times New Roman" w:cs="Times New Roman"/>
          <w:sz w:val="22"/>
          <w:szCs w:val="22"/>
          <w:lang w:val="fr-FR"/>
        </w:rPr>
      </w:pPr>
    </w:p>
    <w:p w:rsidR="00D553F8" w:rsidRDefault="003461E1">
      <w:pPr>
        <w:autoSpaceDE w:val="0"/>
        <w:autoSpaceDN w:val="0"/>
        <w:adjustRightInd w:val="0"/>
        <w:contextualSpacing/>
        <w:jc w:val="both"/>
        <w:rPr>
          <w:rFonts w:ascii="Times New Roman" w:eastAsia="Times New Roman" w:hAnsi="Times New Roman" w:cs="Times New Roman"/>
          <w:b/>
          <w:bCs/>
          <w:sz w:val="22"/>
          <w:szCs w:val="22"/>
          <w:u w:val="single"/>
          <w:lang w:val="fr-FR"/>
        </w:rPr>
      </w:pPr>
      <w:r>
        <w:rPr>
          <w:rFonts w:ascii="Times New Roman" w:eastAsia="Times New Roman" w:hAnsi="Times New Roman" w:cs="Times New Roman"/>
          <w:b/>
          <w:bCs/>
          <w:sz w:val="22"/>
          <w:szCs w:val="22"/>
          <w:u w:val="single"/>
          <w:lang w:val="fr-FR"/>
        </w:rPr>
        <w:t xml:space="preserve">Section C : </w:t>
      </w:r>
      <w:r>
        <w:rPr>
          <w:rStyle w:val="normaltextrun"/>
          <w:rFonts w:ascii="Times New Roman" w:eastAsia="Times New Roman" w:hAnsi="Times New Roman" w:cs="Times New Roman"/>
          <w:b/>
          <w:bCs/>
          <w:sz w:val="22"/>
          <w:szCs w:val="22"/>
          <w:u w:val="single"/>
          <w:lang w:val="fr-FR"/>
        </w:rPr>
        <w:t>Lettre d'accompagnement d'offre</w:t>
      </w:r>
    </w:p>
    <w:p w:rsidR="00D553F8" w:rsidRDefault="00D553F8">
      <w:pPr>
        <w:contextualSpacing/>
        <w:jc w:val="both"/>
        <w:rPr>
          <w:rFonts w:ascii="Times New Roman" w:eastAsia="Times New Roman" w:hAnsi="Times New Roman" w:cs="Times New Roman"/>
          <w:sz w:val="22"/>
          <w:szCs w:val="22"/>
          <w:shd w:val="clear" w:color="auto" w:fill="FFFFFF"/>
          <w:lang w:val="fr-FR"/>
        </w:rPr>
      </w:pPr>
    </w:p>
    <w:p w:rsidR="00D553F8" w:rsidRDefault="003461E1">
      <w:pPr>
        <w:contextualSpacing/>
        <w:jc w:val="both"/>
        <w:rPr>
          <w:rFonts w:ascii="Times New Roman" w:eastAsia="Times New Roman" w:hAnsi="Times New Roman" w:cs="Times New Roman"/>
          <w:sz w:val="22"/>
          <w:szCs w:val="22"/>
          <w:shd w:val="clear" w:color="auto" w:fill="FFFFFF"/>
          <w:lang w:val="fr-FR"/>
        </w:rPr>
      </w:pPr>
      <w:r>
        <w:rPr>
          <w:rFonts w:ascii="Times New Roman" w:eastAsia="Times New Roman" w:hAnsi="Times New Roman" w:cs="Times New Roman"/>
          <w:sz w:val="22"/>
          <w:szCs w:val="22"/>
          <w:shd w:val="clear" w:color="auto" w:fill="FFFFFF"/>
          <w:lang w:val="fr-FR"/>
        </w:rPr>
        <w:t>La lettre d'accompagnement suivante devra être copiée sur du papier à en-tête et remplie/signée/estampillée par un représentant autorisé à signer au nom du soumissionnaire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A adresser á :</w:t>
      </w:r>
      <w:r>
        <w:rPr>
          <w:rFonts w:ascii="Times New Roman" w:hAnsi="Times New Roman" w:cs="Times New Roman"/>
          <w:sz w:val="22"/>
          <w:szCs w:val="22"/>
          <w:lang w:val="fr-FR"/>
        </w:rPr>
        <w:t xml:space="preserve"> </w:t>
      </w:r>
      <w:proofErr w:type="spellStart"/>
      <w:r>
        <w:rPr>
          <w:rFonts w:ascii="Times New Roman" w:eastAsia="Times New Roman" w:hAnsi="Times New Roman" w:cs="Times New Roman"/>
          <w:b/>
          <w:bCs/>
          <w:sz w:val="22"/>
          <w:szCs w:val="22"/>
          <w:lang w:val="fr-FR"/>
        </w:rPr>
        <w:t>Counterpart</w:t>
      </w:r>
      <w:proofErr w:type="spellEnd"/>
      <w:r>
        <w:rPr>
          <w:rFonts w:ascii="Times New Roman" w:eastAsia="Times New Roman" w:hAnsi="Times New Roman" w:cs="Times New Roman"/>
          <w:b/>
          <w:bCs/>
          <w:sz w:val="22"/>
          <w:szCs w:val="22"/>
          <w:lang w:val="fr-FR"/>
        </w:rPr>
        <w:t xml:space="preserve"> International </w:t>
      </w:r>
      <w:proofErr w:type="spellStart"/>
      <w:r>
        <w:rPr>
          <w:rFonts w:ascii="Times New Roman" w:eastAsia="Times New Roman" w:hAnsi="Times New Roman" w:cs="Times New Roman"/>
          <w:b/>
          <w:bCs/>
          <w:sz w:val="22"/>
          <w:szCs w:val="22"/>
          <w:lang w:val="fr-FR"/>
        </w:rPr>
        <w:t>Mauritania</w:t>
      </w:r>
      <w:proofErr w:type="spellEnd"/>
      <w:r>
        <w:rPr>
          <w:rFonts w:ascii="Times New Roman" w:eastAsia="Times New Roman" w:hAnsi="Times New Roman" w:cs="Times New Roman"/>
          <w:b/>
          <w:bCs/>
          <w:sz w:val="22"/>
          <w:szCs w:val="22"/>
          <w:lang w:val="fr-FR"/>
        </w:rPr>
        <w:t xml:space="preserve"> </w:t>
      </w:r>
    </w:p>
    <w:p w:rsidR="00D553F8" w:rsidRDefault="003461E1">
      <w:pPr>
        <w:ind w:left="720" w:firstLine="720"/>
        <w:contextualSpacing/>
        <w:rPr>
          <w:rFonts w:ascii="Times New Roman" w:eastAsia="Times New Roman" w:hAnsi="Times New Roman" w:cs="Times New Roman"/>
          <w:sz w:val="22"/>
          <w:szCs w:val="22"/>
          <w:shd w:val="clear" w:color="auto" w:fill="FFFFFF"/>
          <w:lang w:val="fr-FR"/>
        </w:rPr>
      </w:pPr>
      <w:r>
        <w:rPr>
          <w:rStyle w:val="normaltextrun"/>
          <w:rFonts w:ascii="Times New Roman" w:eastAsia="Times New Roman" w:hAnsi="Times New Roman" w:cs="Times New Roman"/>
          <w:sz w:val="22"/>
          <w:szCs w:val="22"/>
          <w:shd w:val="clear" w:color="auto" w:fill="FFFFFF"/>
          <w:lang w:val="fr-FR"/>
        </w:rPr>
        <w:t xml:space="preserve">LOT n 254, </w:t>
      </w:r>
      <w:proofErr w:type="spellStart"/>
      <w:r>
        <w:rPr>
          <w:rStyle w:val="normaltextrun"/>
          <w:rFonts w:ascii="Times New Roman" w:eastAsia="Times New Roman" w:hAnsi="Times New Roman" w:cs="Times New Roman"/>
          <w:sz w:val="22"/>
          <w:szCs w:val="22"/>
          <w:shd w:val="clear" w:color="auto" w:fill="FFFFFF"/>
          <w:lang w:val="fr-FR"/>
        </w:rPr>
        <w:t>TevragZeyna</w:t>
      </w:r>
      <w:proofErr w:type="spellEnd"/>
      <w:r>
        <w:rPr>
          <w:rStyle w:val="normaltextrun"/>
          <w:rFonts w:ascii="Times New Roman" w:eastAsia="Times New Roman" w:hAnsi="Times New Roman" w:cs="Times New Roman"/>
          <w:sz w:val="22"/>
          <w:szCs w:val="22"/>
          <w:shd w:val="clear" w:color="auto" w:fill="FFFFFF"/>
          <w:lang w:val="fr-FR"/>
        </w:rPr>
        <w:t xml:space="preserve"> BP3933, Nouakchott, </w:t>
      </w:r>
      <w:proofErr w:type="spellStart"/>
      <w:r>
        <w:rPr>
          <w:rStyle w:val="normaltextrun"/>
          <w:rFonts w:ascii="Times New Roman" w:eastAsia="Times New Roman" w:hAnsi="Times New Roman" w:cs="Times New Roman"/>
          <w:sz w:val="22"/>
          <w:szCs w:val="22"/>
          <w:shd w:val="clear" w:color="auto" w:fill="FFFFFF"/>
          <w:lang w:val="fr-FR"/>
        </w:rPr>
        <w:t>Mauritania</w:t>
      </w:r>
      <w:proofErr w:type="spellEnd"/>
      <w:r>
        <w:rPr>
          <w:rStyle w:val="eop"/>
          <w:rFonts w:ascii="Times New Roman" w:eastAsia="Times New Roman" w:hAnsi="Times New Roman" w:cs="Times New Roman"/>
          <w:sz w:val="22"/>
          <w:szCs w:val="22"/>
          <w:shd w:val="clear" w:color="auto" w:fill="FFFFFF"/>
          <w:lang w:val="fr-FR"/>
        </w:rPr>
        <w:t> </w:t>
      </w:r>
      <w:r>
        <w:rPr>
          <w:rFonts w:ascii="Times New Roman" w:eastAsia="Times New Roman" w:hAnsi="Times New Roman" w:cs="Times New Roman"/>
          <w:b/>
          <w:bCs/>
          <w:sz w:val="22"/>
          <w:szCs w:val="22"/>
          <w:lang w:val="fr-FR"/>
        </w:rPr>
        <w:t xml:space="preserve">                       </w:t>
      </w:r>
    </w:p>
    <w:p w:rsidR="00D553F8" w:rsidRDefault="00D553F8">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sz w:val="22"/>
          <w:szCs w:val="22"/>
          <w:lang w:val="fr-FR"/>
        </w:rPr>
      </w:pP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 xml:space="preserve">Référence : </w:t>
      </w:r>
      <w:r>
        <w:rPr>
          <w:rFonts w:ascii="Times New Roman" w:eastAsia="Times New Roman" w:hAnsi="Times New Roman" w:cs="Times New Roman"/>
          <w:b/>
          <w:bCs/>
          <w:sz w:val="22"/>
          <w:szCs w:val="22"/>
          <w:lang w:val="fr-FR"/>
        </w:rPr>
        <w:t xml:space="preserve">Recrutement d’un consultant pour le développement d’une capsule pratique sur </w:t>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eastAsia="Times New Roman" w:hAnsi="Times New Roman" w:cs="Times New Roman"/>
          <w:b/>
          <w:bCs/>
          <w:sz w:val="22"/>
          <w:szCs w:val="22"/>
          <w:lang w:val="fr-FR"/>
        </w:rPr>
        <w:t>l’éducation aux médias numériques</w:t>
      </w:r>
      <w:r>
        <w:rPr>
          <w:rFonts w:ascii="Times New Roman" w:eastAsia="Times New Roman" w:hAnsi="Times New Roman" w:cs="Times New Roman"/>
          <w:b/>
          <w:bCs/>
          <w:sz w:val="22"/>
          <w:szCs w:val="22"/>
          <w:lang w:val="fr-FR"/>
        </w:rPr>
        <w:t xml:space="preserve"> pour les jeunes des cohortes</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r>
        <w:rPr>
          <w:rFonts w:ascii="Times New Roman" w:hAnsi="Times New Roman" w:cs="Times New Roman"/>
          <w:sz w:val="22"/>
          <w:szCs w:val="22"/>
          <w:lang w:val="fr-FR"/>
        </w:rPr>
        <w:t>À qui de droit :</w:t>
      </w:r>
    </w:p>
    <w:p w:rsidR="00D553F8" w:rsidRDefault="00D553F8">
      <w:pPr>
        <w:pStyle w:val="PrformatHTML"/>
        <w:shd w:val="clear" w:color="auto" w:fill="FFFFFF" w:themeFill="background1"/>
        <w:contextualSpacing/>
        <w:jc w:val="both"/>
        <w:rPr>
          <w:rFonts w:ascii="Times New Roman" w:hAnsi="Times New Roman" w:cs="Times New Roman"/>
          <w:sz w:val="22"/>
          <w:szCs w:val="22"/>
          <w:lang w:val="fr-FR"/>
        </w:rPr>
      </w:pP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r>
        <w:rPr>
          <w:rFonts w:ascii="Times New Roman" w:hAnsi="Times New Roman" w:cs="Times New Roman"/>
          <w:sz w:val="22"/>
          <w:szCs w:val="22"/>
          <w:lang w:val="fr-FR"/>
        </w:rPr>
        <w:t xml:space="preserve">Nous, soussignés, soumettons par la présente l'offre ci-jointe pour effectuer tous les travaux requis pour compléter les activités et les exigences décrites dans la demande de devis mentionnée ci-dessus. </w:t>
      </w:r>
      <w:r>
        <w:rPr>
          <w:rFonts w:ascii="Times New Roman" w:hAnsi="Times New Roman" w:cs="Times New Roman"/>
          <w:sz w:val="22"/>
          <w:szCs w:val="22"/>
          <w:lang w:val="fr-FR"/>
        </w:rPr>
        <w:t>Nous vous prions de recevoir notre offre ci-jointe.</w:t>
      </w:r>
    </w:p>
    <w:p w:rsidR="00D553F8" w:rsidRDefault="00D553F8">
      <w:pPr>
        <w:pStyle w:val="PrformatHTML"/>
        <w:shd w:val="clear" w:color="auto" w:fill="FFFFFF" w:themeFill="background1"/>
        <w:contextualSpacing/>
        <w:jc w:val="both"/>
        <w:rPr>
          <w:rFonts w:ascii="Times New Roman" w:hAnsi="Times New Roman" w:cs="Times New Roman"/>
          <w:sz w:val="22"/>
          <w:szCs w:val="22"/>
          <w:lang w:val="fr-FR"/>
        </w:rPr>
      </w:pP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r>
        <w:rPr>
          <w:rFonts w:ascii="Times New Roman" w:hAnsi="Times New Roman" w:cs="Times New Roman"/>
          <w:sz w:val="22"/>
          <w:szCs w:val="22"/>
          <w:lang w:val="fr-FR"/>
        </w:rPr>
        <w:t>Par la présente, nous reconnaissons et acceptons tous les termes, conditions, dispositions spéciales et instructions inclus dans la demande de devis mentionnée ci-dessus. Nous certifions également que l'</w:t>
      </w:r>
      <w:r>
        <w:rPr>
          <w:rFonts w:ascii="Times New Roman" w:hAnsi="Times New Roman" w:cs="Times New Roman"/>
          <w:sz w:val="22"/>
          <w:szCs w:val="22"/>
          <w:lang w:val="fr-FR"/>
        </w:rPr>
        <w:t>entreprise ci-dessous - ainsi que les principaux dirigeants de l'entreprise et tous les services offerts en réponse à cette demande d'offre - sont autorisés à participer à cette procédure d’appel d’offre conformément aux conditions de cette invitation et a</w:t>
      </w:r>
      <w:r>
        <w:rPr>
          <w:rFonts w:ascii="Times New Roman" w:hAnsi="Times New Roman" w:cs="Times New Roman"/>
          <w:sz w:val="22"/>
          <w:szCs w:val="22"/>
          <w:lang w:val="fr-FR"/>
        </w:rPr>
        <w:t>ux réglementations de l’USAID.</w:t>
      </w:r>
    </w:p>
    <w:p w:rsidR="00D553F8" w:rsidRDefault="003461E1">
      <w:pPr>
        <w:contextualSpacing/>
        <w:jc w:val="both"/>
        <w:rPr>
          <w:rFonts w:ascii="Times New Roman" w:eastAsia="Times New Roman" w:hAnsi="Times New Roman" w:cs="Times New Roman"/>
          <w:sz w:val="22"/>
          <w:szCs w:val="22"/>
          <w:shd w:val="clear" w:color="auto" w:fill="FFFFFF"/>
          <w:lang w:val="fr-FR"/>
        </w:rPr>
      </w:pPr>
      <w:r>
        <w:rPr>
          <w:rFonts w:ascii="Times New Roman" w:hAnsi="Times New Roman" w:cs="Times New Roman"/>
          <w:sz w:val="22"/>
          <w:szCs w:val="22"/>
          <w:lang w:val="fr-FR"/>
        </w:rPr>
        <w:br/>
      </w:r>
      <w:r>
        <w:rPr>
          <w:rFonts w:ascii="Times New Roman" w:eastAsia="Times New Roman" w:hAnsi="Times New Roman" w:cs="Times New Roman"/>
          <w:sz w:val="22"/>
          <w:szCs w:val="22"/>
          <w:shd w:val="clear" w:color="auto" w:fill="FFFFFF"/>
          <w:lang w:val="fr-FR"/>
        </w:rPr>
        <w:t xml:space="preserve">En outre, nous certifions que, au mieux de nos connaissances et croyances :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 xml:space="preserve">Nous n'avons aucune relation étroite, familiale ou financière avec un membre du personnel      </w:t>
      </w:r>
    </w:p>
    <w:p w:rsidR="00D553F8" w:rsidRDefault="003461E1">
      <w:pPr>
        <w:pStyle w:val="Paragraphedeliste"/>
        <w:spacing w:line="240" w:lineRule="auto"/>
        <w:jc w:val="both"/>
        <w:rPr>
          <w:rFonts w:ascii="Times New Roman" w:eastAsia="Times New Roman" w:hAnsi="Times New Roman" w:cs="Times New Roman"/>
          <w:shd w:val="clear" w:color="auto" w:fill="FFFFFF"/>
          <w:lang w:val="fr-FR"/>
        </w:rPr>
      </w:pPr>
      <w:proofErr w:type="gramStart"/>
      <w:r>
        <w:rPr>
          <w:rFonts w:ascii="Times New Roman" w:eastAsia="Times New Roman" w:hAnsi="Times New Roman" w:cs="Times New Roman"/>
          <w:shd w:val="clear" w:color="auto" w:fill="FFFFFF"/>
          <w:lang w:val="fr-FR"/>
        </w:rPr>
        <w:t>de</w:t>
      </w:r>
      <w:proofErr w:type="gramEnd"/>
      <w:r>
        <w:rPr>
          <w:rFonts w:ascii="Times New Roman" w:eastAsia="Times New Roman" w:hAnsi="Times New Roman" w:cs="Times New Roman"/>
          <w:shd w:val="clear" w:color="auto" w:fill="FFFFFF"/>
          <w:lang w:val="fr-FR"/>
        </w:rPr>
        <w:t xml:space="preserve"> </w:t>
      </w:r>
      <w:proofErr w:type="spellStart"/>
      <w:r>
        <w:rPr>
          <w:rFonts w:ascii="Times New Roman" w:eastAsia="Times New Roman" w:hAnsi="Times New Roman" w:cs="Times New Roman"/>
          <w:shd w:val="clear" w:color="auto" w:fill="FFFFFF"/>
          <w:lang w:val="fr-FR"/>
        </w:rPr>
        <w:t>Counterpart</w:t>
      </w:r>
      <w:proofErr w:type="spellEnd"/>
      <w:r>
        <w:rPr>
          <w:rFonts w:ascii="Times New Roman" w:eastAsia="Times New Roman" w:hAnsi="Times New Roman" w:cs="Times New Roman"/>
          <w:shd w:val="clear" w:color="auto" w:fill="FFFFFF"/>
          <w:lang w:val="fr-FR"/>
        </w:rPr>
        <w:t xml:space="preserve"> ou du projet </w:t>
      </w:r>
      <w:proofErr w:type="spellStart"/>
      <w:r>
        <w:rPr>
          <w:rFonts w:ascii="Times New Roman" w:eastAsia="Times New Roman" w:hAnsi="Times New Roman" w:cs="Times New Roman"/>
          <w:shd w:val="clear" w:color="auto" w:fill="FFFFFF"/>
          <w:lang w:val="fr-FR"/>
        </w:rPr>
        <w:t>Nafoore</w:t>
      </w:r>
      <w:proofErr w:type="spellEnd"/>
      <w:r>
        <w:rPr>
          <w:rFonts w:ascii="Times New Roman" w:eastAsia="Times New Roman" w:hAnsi="Times New Roman" w:cs="Times New Roman"/>
          <w:shd w:val="clear" w:color="auto" w:fill="FFFFFF"/>
          <w:lang w:val="fr-FR"/>
        </w:rPr>
        <w:t xml:space="preserve"> ;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Nous n'avons</w:t>
      </w:r>
      <w:r>
        <w:rPr>
          <w:rFonts w:ascii="Times New Roman" w:eastAsia="Times New Roman" w:hAnsi="Times New Roman" w:cs="Times New Roman"/>
          <w:shd w:val="clear" w:color="auto" w:fill="FFFFFF"/>
          <w:lang w:val="fr-FR"/>
        </w:rPr>
        <w:t xml:space="preserve"> aucune relation étroite, familiale ou financière avec d'autres soumissionnaires qui ont déposé des propositions en réponse à la demande de devis mentionnée ci-dessus ; et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Les prix de notre offre ont été établis de manière indépendante, sans aucune consul</w:t>
      </w:r>
      <w:r>
        <w:rPr>
          <w:rFonts w:ascii="Times New Roman" w:eastAsia="Times New Roman" w:hAnsi="Times New Roman" w:cs="Times New Roman"/>
          <w:shd w:val="clear" w:color="auto" w:fill="FFFFFF"/>
          <w:lang w:val="fr-FR"/>
        </w:rPr>
        <w:t xml:space="preserve">tation, communication ou accord avec un autre soumissionnaire ou un concurrent dans le but de restreindre la concurrence.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 xml:space="preserve">Toutes les informations contenues dans notre proposition et toutes les pièces justificatives sont authentiques et exactes.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Nous comp</w:t>
      </w:r>
      <w:r>
        <w:rPr>
          <w:rFonts w:ascii="Times New Roman" w:eastAsia="Times New Roman" w:hAnsi="Times New Roman" w:cs="Times New Roman"/>
          <w:shd w:val="clear" w:color="auto" w:fill="FFFFFF"/>
          <w:lang w:val="fr-FR"/>
        </w:rPr>
        <w:t>renons et acceptons les interdictions de contrefaçon contre la fraude, les pots-</w:t>
      </w:r>
    </w:p>
    <w:p w:rsidR="00D553F8" w:rsidRDefault="003461E1">
      <w:pPr>
        <w:pStyle w:val="Paragraphedeliste"/>
        <w:spacing w:line="240" w:lineRule="auto"/>
        <w:jc w:val="both"/>
        <w:rPr>
          <w:rFonts w:ascii="Times New Roman" w:eastAsia="Times New Roman" w:hAnsi="Times New Roman" w:cs="Times New Roman"/>
          <w:shd w:val="clear" w:color="auto" w:fill="FFFFFF"/>
          <w:lang w:val="fr-FR"/>
        </w:rPr>
      </w:pPr>
      <w:proofErr w:type="spellStart"/>
      <w:r>
        <w:rPr>
          <w:rFonts w:ascii="Times New Roman" w:eastAsia="Times New Roman" w:hAnsi="Times New Roman" w:cs="Times New Roman"/>
          <w:shd w:val="clear" w:color="auto" w:fill="FFFFFF"/>
          <w:lang w:val="fr-FR"/>
        </w:rPr>
        <w:t>de-vin</w:t>
      </w:r>
      <w:proofErr w:type="spellEnd"/>
      <w:r>
        <w:rPr>
          <w:rFonts w:ascii="Times New Roman" w:eastAsia="Times New Roman" w:hAnsi="Times New Roman" w:cs="Times New Roman"/>
          <w:shd w:val="clear" w:color="auto" w:fill="FFFFFF"/>
          <w:lang w:val="fr-FR"/>
        </w:rPr>
        <w:t xml:space="preserve"> et la corruption. Nous certifions par la présente que les représentations, </w:t>
      </w:r>
    </w:p>
    <w:p w:rsidR="00D553F8" w:rsidRDefault="003461E1">
      <w:pPr>
        <w:pStyle w:val="Paragraphedeliste"/>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Certifications et autres déclarations ci-jointes sont exactes, à jour et complètes.</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Signatur</w:t>
      </w:r>
      <w:r>
        <w:rPr>
          <w:rFonts w:ascii="Times New Roman" w:eastAsia="Times New Roman" w:hAnsi="Times New Roman" w:cs="Times New Roman"/>
          <w:sz w:val="22"/>
          <w:szCs w:val="22"/>
          <w:lang w:val="fr-FR"/>
        </w:rPr>
        <w:t>e autorisée : ________________________________________________</w:t>
      </w:r>
      <w:r>
        <w:rPr>
          <w:rFonts w:ascii="Times New Roman" w:hAnsi="Times New Roman" w:cs="Times New Roman"/>
          <w:sz w:val="22"/>
          <w:szCs w:val="22"/>
          <w:lang w:val="fr-FR"/>
        </w:rPr>
        <w:t>______</w:t>
      </w:r>
      <w:r>
        <w:rPr>
          <w:rFonts w:ascii="Times New Roman" w:hAnsi="Times New Roman" w:cs="Times New Roman"/>
          <w:sz w:val="22"/>
          <w:szCs w:val="22"/>
          <w:lang w:val="fr-FR"/>
        </w:rPr>
        <w:tab/>
      </w:r>
      <w:r>
        <w:rPr>
          <w:rFonts w:ascii="Times New Roman" w:hAnsi="Times New Roman" w:cs="Times New Roman"/>
          <w:sz w:val="22"/>
          <w:szCs w:val="22"/>
          <w:lang w:val="fr-FR"/>
        </w:rPr>
        <w:tab/>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shd w:val="clear" w:color="auto" w:fill="FFFFFF"/>
          <w:lang w:val="fr-FR"/>
        </w:rPr>
        <w:t>Nom et titre du signataire</w:t>
      </w:r>
      <w:r>
        <w:rPr>
          <w:rFonts w:ascii="Times New Roman" w:eastAsia="Times New Roman" w:hAnsi="Times New Roman" w:cs="Times New Roman"/>
          <w:sz w:val="22"/>
          <w:szCs w:val="22"/>
          <w:lang w:val="fr-FR"/>
        </w:rPr>
        <w:t xml:space="preserve"> : </w:t>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t>_______</w:t>
      </w:r>
      <w:r>
        <w:rPr>
          <w:rFonts w:ascii="Times New Roman" w:hAnsi="Times New Roman" w:cs="Times New Roman"/>
          <w:sz w:val="22"/>
          <w:szCs w:val="22"/>
          <w:u w:val="single"/>
          <w:lang w:val="fr-FR"/>
        </w:rPr>
        <w:tab/>
        <w:t>_____</w:t>
      </w:r>
    </w:p>
    <w:p w:rsidR="00D553F8" w:rsidRDefault="003461E1">
      <w:pPr>
        <w:contextualSpacing/>
        <w:jc w:val="both"/>
        <w:rPr>
          <w:rFonts w:ascii="Times New Roman" w:eastAsia="Times New Roman" w:hAnsi="Times New Roman" w:cs="Times New Roman"/>
          <w:sz w:val="22"/>
          <w:szCs w:val="22"/>
          <w:u w:val="single"/>
          <w:lang w:val="fr-FR"/>
        </w:rPr>
      </w:pPr>
      <w:r>
        <w:rPr>
          <w:rFonts w:ascii="Times New Roman" w:eastAsia="Times New Roman" w:hAnsi="Times New Roman" w:cs="Times New Roman"/>
          <w:sz w:val="22"/>
          <w:szCs w:val="22"/>
          <w:lang w:val="fr-FR"/>
        </w:rPr>
        <w:t>Date : __________________________________________________________________</w:t>
      </w:r>
    </w:p>
    <w:p w:rsidR="00D553F8" w:rsidRDefault="003461E1">
      <w:pPr>
        <w:contextualSpacing/>
        <w:jc w:val="both"/>
        <w:rPr>
          <w:rFonts w:ascii="Times New Roman" w:eastAsia="Times New Roman" w:hAnsi="Times New Roman" w:cs="Times New Roman"/>
          <w:sz w:val="22"/>
          <w:szCs w:val="22"/>
          <w:u w:val="single"/>
          <w:lang w:val="fr-FR"/>
        </w:rPr>
      </w:pPr>
      <w:r>
        <w:rPr>
          <w:rFonts w:ascii="Times New Roman" w:eastAsia="Times New Roman" w:hAnsi="Times New Roman" w:cs="Times New Roman"/>
          <w:sz w:val="22"/>
          <w:szCs w:val="22"/>
          <w:lang w:val="fr-FR"/>
        </w:rPr>
        <w:t xml:space="preserve">Nom de l’entreprise : </w:t>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p>
    <w:p w:rsidR="00D553F8" w:rsidRDefault="003461E1">
      <w:pPr>
        <w:contextualSpacing/>
        <w:jc w:val="both"/>
        <w:rPr>
          <w:rFonts w:ascii="Times New Roman" w:eastAsia="Times New Roman" w:hAnsi="Times New Roman" w:cs="Times New Roman"/>
          <w:sz w:val="22"/>
          <w:szCs w:val="22"/>
          <w:u w:val="single"/>
          <w:lang w:val="fr-FR"/>
        </w:rPr>
      </w:pPr>
      <w:r>
        <w:rPr>
          <w:rFonts w:ascii="Times New Roman" w:eastAsia="Times New Roman" w:hAnsi="Times New Roman" w:cs="Times New Roman"/>
          <w:sz w:val="22"/>
          <w:szCs w:val="22"/>
          <w:lang w:val="fr-FR"/>
        </w:rPr>
        <w:t xml:space="preserve">Adresse de l’entreprise : </w:t>
      </w:r>
      <w:r>
        <w:rPr>
          <w:rFonts w:ascii="Times New Roman" w:eastAsia="Times New Roman" w:hAnsi="Times New Roman" w:cs="Times New Roman"/>
          <w:sz w:val="22"/>
          <w:szCs w:val="22"/>
          <w:lang w:val="fr-FR"/>
        </w:rPr>
        <w:t>____________________________________________________</w:t>
      </w:r>
    </w:p>
    <w:p w:rsidR="00D553F8" w:rsidRDefault="003461E1">
      <w:pPr>
        <w:contextualSpacing/>
        <w:jc w:val="both"/>
        <w:rPr>
          <w:rFonts w:ascii="Times New Roman" w:hAnsi="Times New Roman" w:cs="Times New Roman"/>
          <w:sz w:val="22"/>
          <w:szCs w:val="22"/>
          <w:lang w:val="fr-FR"/>
        </w:rPr>
      </w:pPr>
      <w:r>
        <w:rPr>
          <w:rFonts w:ascii="Times New Roman" w:eastAsia="Times New Roman" w:hAnsi="Times New Roman" w:cs="Times New Roman"/>
          <w:sz w:val="22"/>
          <w:szCs w:val="22"/>
          <w:shd w:val="clear" w:color="auto" w:fill="FFFFFF"/>
          <w:lang w:val="fr-FR"/>
        </w:rPr>
        <w:t>Téléphone de l'entreprise et site Web :</w:t>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t>______</w:t>
      </w:r>
    </w:p>
    <w:p w:rsidR="00D553F8" w:rsidRDefault="003461E1">
      <w:pPr>
        <w:pStyle w:val="PrformatHTML"/>
        <w:shd w:val="clear" w:color="auto" w:fill="FFFFFF" w:themeFill="background1"/>
        <w:contextualSpacing/>
        <w:jc w:val="both"/>
        <w:rPr>
          <w:rFonts w:ascii="Times New Roman" w:hAnsi="Times New Roman" w:cs="Times New Roman"/>
          <w:sz w:val="22"/>
          <w:szCs w:val="22"/>
          <w:u w:val="single"/>
          <w:lang w:val="fr-FR"/>
        </w:rPr>
      </w:pPr>
      <w:r>
        <w:rPr>
          <w:rFonts w:ascii="Times New Roman" w:hAnsi="Times New Roman" w:cs="Times New Roman"/>
          <w:sz w:val="22"/>
          <w:szCs w:val="22"/>
          <w:lang w:val="fr-FR"/>
        </w:rPr>
        <w:t xml:space="preserve">Enregistrement de la société ou numéro d'identification du contribuable : </w:t>
      </w:r>
      <w:r>
        <w:rPr>
          <w:lang w:val="fr-FR"/>
        </w:rPr>
        <w:tab/>
      </w:r>
      <w:r>
        <w:rPr>
          <w:lang w:val="fr-FR"/>
        </w:rPr>
        <w:tab/>
      </w:r>
      <w:ins w:id="10" w:author="Charlotte Kennedy" w:date="2024-06-13T09:08:00Z">
        <w:r>
          <w:rPr>
            <w:rFonts w:ascii="Times New Roman" w:hAnsi="Times New Roman" w:cs="Times New Roman"/>
            <w:sz w:val="22"/>
            <w:szCs w:val="22"/>
            <w:u w:val="single"/>
            <w:lang w:val="fr-FR"/>
          </w:rPr>
          <w:softHyphen/>
        </w:r>
      </w:ins>
      <w:r>
        <w:rPr>
          <w:rFonts w:ascii="Times New Roman" w:hAnsi="Times New Roman" w:cs="Times New Roman"/>
          <w:sz w:val="22"/>
          <w:szCs w:val="22"/>
          <w:u w:val="single"/>
          <w:lang w:val="fr-FR"/>
        </w:rPr>
        <w:t xml:space="preserve">____        </w:t>
      </w:r>
      <w:r>
        <w:rPr>
          <w:rFonts w:ascii="Times New Roman" w:hAnsi="Times New Roman" w:cs="Times New Roman"/>
          <w:sz w:val="22"/>
          <w:szCs w:val="22"/>
          <w:lang w:val="fr-FR"/>
        </w:rPr>
        <w:t xml:space="preserve">   </w:t>
      </w:r>
    </w:p>
    <w:p w:rsidR="00D553F8" w:rsidRDefault="003461E1">
      <w:pPr>
        <w:contextualSpacing/>
        <w:jc w:val="both"/>
        <w:rPr>
          <w:rFonts w:ascii="Times New Roman" w:eastAsia="Times New Roman" w:hAnsi="Times New Roman" w:cs="Times New Roman"/>
          <w:sz w:val="22"/>
          <w:szCs w:val="22"/>
          <w:u w:val="single"/>
          <w:lang w:val="fr-FR"/>
        </w:rPr>
      </w:pPr>
      <w:r>
        <w:rPr>
          <w:rFonts w:ascii="Times New Roman" w:eastAsia="Times New Roman" w:hAnsi="Times New Roman" w:cs="Times New Roman"/>
          <w:sz w:val="22"/>
          <w:szCs w:val="22"/>
          <w:shd w:val="clear" w:color="auto" w:fill="FFFFFF"/>
          <w:lang w:val="fr-FR"/>
        </w:rPr>
        <w:t xml:space="preserve">L'entreprise possède-t-elle un compte bancaire actif (Oui </w:t>
      </w:r>
      <w:r>
        <w:rPr>
          <w:rFonts w:ascii="Times New Roman" w:eastAsia="Times New Roman" w:hAnsi="Times New Roman" w:cs="Times New Roman"/>
          <w:sz w:val="22"/>
          <w:szCs w:val="22"/>
          <w:shd w:val="clear" w:color="auto" w:fill="FFFFFF"/>
          <w:lang w:val="fr-FR"/>
        </w:rPr>
        <w:t>/ Non) ?</w:t>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t>_</w:t>
      </w:r>
    </w:p>
    <w:p w:rsidR="00D553F8" w:rsidRDefault="003461E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Nom officiel associé au compte bancaire (pour paiement) :</w:t>
      </w:r>
      <w:r>
        <w:rPr>
          <w:rFonts w:ascii="Times New Roman" w:hAnsi="Times New Roman" w:cs="Times New Roman"/>
          <w:sz w:val="22"/>
          <w:szCs w:val="22"/>
          <w:lang w:val="fr-FR"/>
        </w:rPr>
        <w:t xml:space="preserve"> _________________________</w:t>
      </w:r>
      <w:r>
        <w:rPr>
          <w:rFonts w:ascii="Times New Roman" w:hAnsi="Times New Roman" w:cs="Times New Roman"/>
          <w:sz w:val="22"/>
          <w:szCs w:val="22"/>
          <w:lang w:val="fr-FR"/>
        </w:rPr>
        <w:tab/>
      </w:r>
    </w:p>
    <w:p w:rsidR="00D553F8" w:rsidRDefault="00D553F8">
      <w:pPr>
        <w:autoSpaceDE w:val="0"/>
        <w:autoSpaceDN w:val="0"/>
        <w:adjustRightInd w:val="0"/>
        <w:contextualSpacing/>
        <w:jc w:val="both"/>
        <w:rPr>
          <w:rFonts w:ascii="Times New Roman" w:eastAsia="Times New Roman" w:hAnsi="Times New Roman" w:cs="Times New Roman"/>
          <w:sz w:val="22"/>
          <w:szCs w:val="22"/>
          <w:lang w:val="fr-FR"/>
        </w:rPr>
      </w:pPr>
    </w:p>
    <w:p w:rsidR="00D553F8" w:rsidRDefault="003461E1">
      <w:pPr>
        <w:pStyle w:val="paragraph"/>
        <w:spacing w:before="0" w:beforeAutospacing="0" w:after="0" w:afterAutospacing="0"/>
        <w:contextualSpacing/>
        <w:textAlignment w:val="baseline"/>
        <w:rPr>
          <w:rStyle w:val="normaltextrun"/>
          <w:rFonts w:eastAsiaTheme="minorEastAsia"/>
          <w:sz w:val="22"/>
          <w:szCs w:val="22"/>
          <w:lang w:val="fr-FR"/>
        </w:rPr>
      </w:pPr>
      <w:r>
        <w:rPr>
          <w:rStyle w:val="normaltextrun"/>
          <w:b/>
          <w:bCs/>
          <w:sz w:val="22"/>
          <w:szCs w:val="22"/>
          <w:u w:val="single"/>
          <w:lang w:val="fr-FR"/>
        </w:rPr>
        <w:t xml:space="preserve">Section </w:t>
      </w:r>
      <w:proofErr w:type="gramStart"/>
      <w:r>
        <w:rPr>
          <w:rStyle w:val="normaltextrun"/>
          <w:b/>
          <w:bCs/>
          <w:sz w:val="22"/>
          <w:szCs w:val="22"/>
          <w:u w:val="single"/>
          <w:lang w:val="fr-FR"/>
        </w:rPr>
        <w:t>D:</w:t>
      </w:r>
      <w:proofErr w:type="gramEnd"/>
      <w:r>
        <w:rPr>
          <w:rStyle w:val="normaltextrun"/>
          <w:b/>
          <w:bCs/>
          <w:sz w:val="22"/>
          <w:szCs w:val="22"/>
          <w:u w:val="single"/>
          <w:lang w:val="fr-FR"/>
        </w:rPr>
        <w:t xml:space="preserve"> Section 889 </w:t>
      </w:r>
      <w:proofErr w:type="spellStart"/>
      <w:r>
        <w:rPr>
          <w:rStyle w:val="normaltextrun"/>
          <w:b/>
          <w:bCs/>
          <w:sz w:val="22"/>
          <w:szCs w:val="22"/>
          <w:u w:val="single"/>
          <w:lang w:val="fr-FR"/>
        </w:rPr>
        <w:t>Covered</w:t>
      </w:r>
      <w:proofErr w:type="spellEnd"/>
      <w:r>
        <w:rPr>
          <w:rStyle w:val="normaltextrun"/>
          <w:b/>
          <w:bCs/>
          <w:sz w:val="22"/>
          <w:szCs w:val="22"/>
          <w:u w:val="single"/>
          <w:lang w:val="fr-FR"/>
        </w:rPr>
        <w:t xml:space="preserve"> Communications Equipment and Services Background:</w:t>
      </w:r>
      <w:r>
        <w:rPr>
          <w:rStyle w:val="normaltextrun"/>
          <w:sz w:val="22"/>
          <w:szCs w:val="22"/>
          <w:lang w:val="fr-FR"/>
        </w:rPr>
        <w:t xml:space="preserve"> </w:t>
      </w:r>
    </w:p>
    <w:p w:rsidR="00D553F8" w:rsidRDefault="00D553F8">
      <w:pPr>
        <w:pStyle w:val="paragraph"/>
        <w:spacing w:before="0" w:beforeAutospacing="0" w:after="0" w:afterAutospacing="0"/>
        <w:contextualSpacing/>
        <w:textAlignment w:val="baseline"/>
        <w:rPr>
          <w:rStyle w:val="normaltextrun"/>
          <w:sz w:val="22"/>
          <w:szCs w:val="22"/>
          <w:lang w:val="fr-FR"/>
        </w:rPr>
      </w:pPr>
    </w:p>
    <w:p w:rsidR="00D553F8" w:rsidRDefault="003461E1">
      <w:pPr>
        <w:pStyle w:val="paragraph"/>
        <w:spacing w:before="0" w:beforeAutospacing="0" w:after="0" w:afterAutospacing="0"/>
        <w:contextualSpacing/>
        <w:jc w:val="both"/>
        <w:textAlignment w:val="baseline"/>
        <w:rPr>
          <w:sz w:val="22"/>
          <w:szCs w:val="22"/>
          <w:lang w:val="fr-FR"/>
        </w:rPr>
      </w:pPr>
      <w:proofErr w:type="gramStart"/>
      <w:r>
        <w:rPr>
          <w:rStyle w:val="normaltextrun"/>
          <w:sz w:val="22"/>
          <w:szCs w:val="22"/>
          <w:lang w:val="fr-FR"/>
        </w:rPr>
        <w:t xml:space="preserve">Section 889 du NDAA (the National </w:t>
      </w:r>
      <w:proofErr w:type="spellStart"/>
      <w:r>
        <w:rPr>
          <w:rStyle w:val="normaltextrun"/>
          <w:sz w:val="22"/>
          <w:szCs w:val="22"/>
          <w:lang w:val="fr-FR"/>
        </w:rPr>
        <w:t>Defense</w:t>
      </w:r>
      <w:proofErr w:type="spellEnd"/>
      <w:r>
        <w:rPr>
          <w:rStyle w:val="normaltextrun"/>
          <w:sz w:val="22"/>
          <w:szCs w:val="22"/>
          <w:lang w:val="fr-FR"/>
        </w:rPr>
        <w:t xml:space="preserve"> </w:t>
      </w:r>
      <w:proofErr w:type="spellStart"/>
      <w:r>
        <w:rPr>
          <w:rStyle w:val="normaltextrun"/>
          <w:sz w:val="22"/>
          <w:szCs w:val="22"/>
          <w:lang w:val="fr-FR"/>
        </w:rPr>
        <w:t>Authorization</w:t>
      </w:r>
      <w:proofErr w:type="spellEnd"/>
      <w:r>
        <w:rPr>
          <w:rStyle w:val="normaltextrun"/>
          <w:sz w:val="22"/>
          <w:szCs w:val="22"/>
          <w:lang w:val="fr-FR"/>
        </w:rPr>
        <w:t xml:space="preserve"> </w:t>
      </w:r>
      <w:proofErr w:type="spellStart"/>
      <w:r>
        <w:rPr>
          <w:rStyle w:val="normaltextrun"/>
          <w:sz w:val="22"/>
          <w:szCs w:val="22"/>
          <w:lang w:val="fr-FR"/>
        </w:rPr>
        <w:t>Act</w:t>
      </w:r>
      <w:proofErr w:type="spellEnd"/>
      <w:r>
        <w:rPr>
          <w:rStyle w:val="normaltextrun"/>
          <w:sz w:val="22"/>
          <w:szCs w:val="22"/>
          <w:lang w:val="fr-FR"/>
        </w:rPr>
        <w:t xml:space="preserve">) interdit en </w:t>
      </w:r>
      <w:r>
        <w:rPr>
          <w:rStyle w:val="normaltextrun"/>
          <w:sz w:val="22"/>
          <w:szCs w:val="22"/>
          <w:lang w:val="fr-FR"/>
        </w:rPr>
        <w:t xml:space="preserve">général aux agences fédérales, contractuels, bénéficiaires de dons ou de prêt de se procurer ou d’utiliser, sans accord spécifique ou exemption, certains « outils et services de télécommunications » spécifiquement produit par </w:t>
      </w:r>
      <w:proofErr w:type="spellStart"/>
      <w:r>
        <w:rPr>
          <w:rStyle w:val="normaltextrun"/>
          <w:sz w:val="22"/>
          <w:szCs w:val="22"/>
          <w:lang w:val="fr-FR"/>
        </w:rPr>
        <w:t>Huawei</w:t>
      </w:r>
      <w:proofErr w:type="spellEnd"/>
      <w:r>
        <w:rPr>
          <w:rStyle w:val="normaltextrun"/>
          <w:sz w:val="22"/>
          <w:szCs w:val="22"/>
          <w:lang w:val="fr-FR"/>
        </w:rPr>
        <w:t xml:space="preserve"> Technologies </w:t>
      </w:r>
      <w:proofErr w:type="spellStart"/>
      <w:r>
        <w:rPr>
          <w:rStyle w:val="normaltextrun"/>
          <w:sz w:val="22"/>
          <w:szCs w:val="22"/>
          <w:lang w:val="fr-FR"/>
        </w:rPr>
        <w:t>Company</w:t>
      </w:r>
      <w:proofErr w:type="spellEnd"/>
      <w:r>
        <w:rPr>
          <w:rStyle w:val="normaltextrun"/>
          <w:sz w:val="22"/>
          <w:szCs w:val="22"/>
          <w:lang w:val="fr-FR"/>
        </w:rPr>
        <w:t xml:space="preserve"> et</w:t>
      </w:r>
      <w:r>
        <w:rPr>
          <w:rStyle w:val="normaltextrun"/>
          <w:sz w:val="22"/>
          <w:szCs w:val="22"/>
          <w:lang w:val="fr-FR"/>
        </w:rPr>
        <w:t xml:space="preserve"> ZTE Corporation, ou de matériel de surveillance et applications produit par </w:t>
      </w:r>
      <w:proofErr w:type="spellStart"/>
      <w:r>
        <w:rPr>
          <w:rStyle w:val="normaltextrun"/>
          <w:sz w:val="22"/>
          <w:szCs w:val="22"/>
          <w:lang w:val="fr-FR"/>
        </w:rPr>
        <w:t>Hytera</w:t>
      </w:r>
      <w:proofErr w:type="spellEnd"/>
      <w:r>
        <w:rPr>
          <w:rStyle w:val="normaltextrun"/>
          <w:sz w:val="22"/>
          <w:szCs w:val="22"/>
          <w:lang w:val="fr-FR"/>
        </w:rPr>
        <w:t xml:space="preserve"> Communications Corporation, </w:t>
      </w:r>
      <w:proofErr w:type="spellStart"/>
      <w:r>
        <w:rPr>
          <w:rStyle w:val="normaltextrun"/>
          <w:sz w:val="22"/>
          <w:szCs w:val="22"/>
          <w:lang w:val="fr-FR"/>
        </w:rPr>
        <w:t>Dahua</w:t>
      </w:r>
      <w:proofErr w:type="spellEnd"/>
      <w:r>
        <w:rPr>
          <w:rStyle w:val="normaltextrun"/>
          <w:sz w:val="22"/>
          <w:szCs w:val="22"/>
          <w:lang w:val="fr-FR"/>
        </w:rPr>
        <w:t xml:space="preserve"> </w:t>
      </w:r>
      <w:proofErr w:type="spellStart"/>
      <w:r>
        <w:rPr>
          <w:rStyle w:val="normaltextrun"/>
          <w:sz w:val="22"/>
          <w:szCs w:val="22"/>
          <w:lang w:val="fr-FR"/>
        </w:rPr>
        <w:t>Technology</w:t>
      </w:r>
      <w:proofErr w:type="spellEnd"/>
      <w:r>
        <w:rPr>
          <w:rStyle w:val="normaltextrun"/>
          <w:sz w:val="22"/>
          <w:szCs w:val="22"/>
          <w:lang w:val="fr-FR"/>
        </w:rPr>
        <w:t xml:space="preserve"> </w:t>
      </w:r>
      <w:proofErr w:type="spellStart"/>
      <w:r>
        <w:rPr>
          <w:rStyle w:val="normaltextrun"/>
          <w:sz w:val="22"/>
          <w:szCs w:val="22"/>
          <w:lang w:val="fr-FR"/>
        </w:rPr>
        <w:t>Company</w:t>
      </w:r>
      <w:proofErr w:type="spellEnd"/>
      <w:r>
        <w:rPr>
          <w:rStyle w:val="normaltextrun"/>
          <w:sz w:val="22"/>
          <w:szCs w:val="22"/>
          <w:lang w:val="fr-FR"/>
        </w:rPr>
        <w:t xml:space="preserve"> et Hangzhou </w:t>
      </w:r>
      <w:proofErr w:type="spellStart"/>
      <w:r>
        <w:rPr>
          <w:rStyle w:val="normaltextrun"/>
          <w:sz w:val="22"/>
          <w:szCs w:val="22"/>
          <w:lang w:val="fr-FR"/>
        </w:rPr>
        <w:t>Hikvision</w:t>
      </w:r>
      <w:proofErr w:type="spellEnd"/>
      <w:r>
        <w:rPr>
          <w:rStyle w:val="normaltextrun"/>
          <w:sz w:val="22"/>
          <w:szCs w:val="22"/>
          <w:lang w:val="fr-FR"/>
        </w:rPr>
        <w:t xml:space="preserve"> Digital </w:t>
      </w:r>
      <w:proofErr w:type="spellStart"/>
      <w:r>
        <w:rPr>
          <w:rStyle w:val="normaltextrun"/>
          <w:sz w:val="22"/>
          <w:szCs w:val="22"/>
          <w:lang w:val="fr-FR"/>
        </w:rPr>
        <w:t>Technology</w:t>
      </w:r>
      <w:proofErr w:type="spellEnd"/>
      <w:r>
        <w:rPr>
          <w:rStyle w:val="normaltextrun"/>
          <w:sz w:val="22"/>
          <w:szCs w:val="22"/>
          <w:lang w:val="fr-FR"/>
        </w:rPr>
        <w:t xml:space="preserve"> </w:t>
      </w:r>
      <w:proofErr w:type="spellStart"/>
      <w:r>
        <w:rPr>
          <w:rStyle w:val="normaltextrun"/>
          <w:sz w:val="22"/>
          <w:szCs w:val="22"/>
          <w:lang w:val="fr-FR"/>
        </w:rPr>
        <w:t>Company</w:t>
      </w:r>
      <w:proofErr w:type="spellEnd"/>
      <w:r>
        <w:rPr>
          <w:rStyle w:val="normaltextrun"/>
          <w:sz w:val="22"/>
          <w:szCs w:val="22"/>
          <w:lang w:val="fr-FR"/>
        </w:rPr>
        <w:t xml:space="preserve"> ; comme composante « substantiel ou essentiel » de quelconque système,</w:t>
      </w:r>
      <w:r>
        <w:rPr>
          <w:rStyle w:val="normaltextrun"/>
          <w:sz w:val="22"/>
          <w:szCs w:val="22"/>
          <w:lang w:val="fr-FR"/>
        </w:rPr>
        <w:t xml:space="preserve"> ou comme principale technologie composante de quelconque système.</w:t>
      </w:r>
      <w:proofErr w:type="gramEnd"/>
      <w:r>
        <w:rPr>
          <w:rStyle w:val="normaltextrun"/>
          <w:sz w:val="22"/>
          <w:szCs w:val="22"/>
          <w:lang w:val="fr-FR"/>
        </w:rPr>
        <w:t xml:space="preserve"> </w:t>
      </w:r>
      <w:proofErr w:type="spellStart"/>
      <w:r>
        <w:rPr>
          <w:rStyle w:val="normaltextrun"/>
          <w:sz w:val="22"/>
          <w:szCs w:val="22"/>
          <w:lang w:val="fr-FR"/>
        </w:rPr>
        <w:t>Counterpart</w:t>
      </w:r>
      <w:proofErr w:type="spellEnd"/>
      <w:r>
        <w:rPr>
          <w:rStyle w:val="normaltextrun"/>
          <w:sz w:val="22"/>
          <w:szCs w:val="22"/>
          <w:lang w:val="fr-FR"/>
        </w:rPr>
        <w:t xml:space="preserve"> est bénéficiaire de Grant et de contrats fédéraux, émanent du gouvernement américain et doit respecter les normes FAR 52.204-25 Prohibition on </w:t>
      </w:r>
      <w:proofErr w:type="spellStart"/>
      <w:r>
        <w:rPr>
          <w:rStyle w:val="normaltextrun"/>
          <w:sz w:val="22"/>
          <w:szCs w:val="22"/>
          <w:lang w:val="fr-FR"/>
        </w:rPr>
        <w:t>Contracting</w:t>
      </w:r>
      <w:proofErr w:type="spellEnd"/>
      <w:r>
        <w:rPr>
          <w:rStyle w:val="normaltextrun"/>
          <w:sz w:val="22"/>
          <w:szCs w:val="22"/>
          <w:lang w:val="fr-FR"/>
        </w:rPr>
        <w:t xml:space="preserve"> for Certain </w:t>
      </w:r>
      <w:proofErr w:type="spellStart"/>
      <w:r>
        <w:rPr>
          <w:rStyle w:val="normaltextrun"/>
          <w:sz w:val="22"/>
          <w:szCs w:val="22"/>
          <w:lang w:val="fr-FR"/>
        </w:rPr>
        <w:t>Telecommun</w:t>
      </w:r>
      <w:r>
        <w:rPr>
          <w:rStyle w:val="normaltextrun"/>
          <w:sz w:val="22"/>
          <w:szCs w:val="22"/>
          <w:lang w:val="fr-FR"/>
        </w:rPr>
        <w:t>ications</w:t>
      </w:r>
      <w:proofErr w:type="spellEnd"/>
      <w:r>
        <w:rPr>
          <w:rStyle w:val="normaltextrun"/>
          <w:sz w:val="22"/>
          <w:szCs w:val="22"/>
          <w:lang w:val="fr-FR"/>
        </w:rPr>
        <w:t xml:space="preserve"> and </w:t>
      </w:r>
      <w:proofErr w:type="spellStart"/>
      <w:r>
        <w:rPr>
          <w:rStyle w:val="normaltextrun"/>
          <w:sz w:val="22"/>
          <w:szCs w:val="22"/>
          <w:lang w:val="fr-FR"/>
        </w:rPr>
        <w:t>Video</w:t>
      </w:r>
      <w:proofErr w:type="spellEnd"/>
      <w:r>
        <w:rPr>
          <w:rStyle w:val="normaltextrun"/>
          <w:sz w:val="22"/>
          <w:szCs w:val="22"/>
          <w:lang w:val="fr-FR"/>
        </w:rPr>
        <w:t xml:space="preserve"> Surveillance Services or Equipment (</w:t>
      </w:r>
      <w:proofErr w:type="spellStart"/>
      <w:r>
        <w:rPr>
          <w:rStyle w:val="normaltextrun"/>
          <w:sz w:val="22"/>
          <w:szCs w:val="22"/>
          <w:lang w:val="fr-FR"/>
        </w:rPr>
        <w:t>Aug</w:t>
      </w:r>
      <w:proofErr w:type="spellEnd"/>
      <w:r>
        <w:rPr>
          <w:rStyle w:val="normaltextrun"/>
          <w:sz w:val="22"/>
          <w:szCs w:val="22"/>
          <w:lang w:val="fr-FR"/>
        </w:rPr>
        <w:t xml:space="preserve"> 2020) and 2 CFR 200.216.</w:t>
      </w:r>
      <w:r>
        <w:rPr>
          <w:rStyle w:val="eop"/>
          <w:sz w:val="22"/>
          <w:szCs w:val="22"/>
          <w:lang w:val="fr-FR"/>
        </w:rPr>
        <w:t> </w:t>
      </w:r>
    </w:p>
    <w:p w:rsidR="00D553F8" w:rsidRDefault="003461E1">
      <w:pPr>
        <w:pStyle w:val="paragraph"/>
        <w:spacing w:before="0" w:beforeAutospacing="0" w:after="0" w:afterAutospacing="0"/>
        <w:contextualSpacing/>
        <w:textAlignment w:val="baseline"/>
        <w:rPr>
          <w:sz w:val="22"/>
          <w:szCs w:val="22"/>
          <w:lang w:val="fr-FR"/>
        </w:rPr>
      </w:pPr>
      <w:r>
        <w:rPr>
          <w:rStyle w:val="eop"/>
          <w:sz w:val="22"/>
          <w:szCs w:val="22"/>
          <w:lang w:val="fr-FR"/>
        </w:rPr>
        <w:t> </w:t>
      </w:r>
    </w:p>
    <w:p w:rsidR="00D553F8" w:rsidRDefault="003461E1">
      <w:pPr>
        <w:pStyle w:val="paragraph"/>
        <w:spacing w:before="0" w:beforeAutospacing="0" w:after="0" w:afterAutospacing="0"/>
        <w:contextualSpacing/>
        <w:textAlignment w:val="baseline"/>
        <w:rPr>
          <w:sz w:val="22"/>
          <w:szCs w:val="22"/>
          <w:lang w:val="fr-FR"/>
        </w:rPr>
      </w:pPr>
      <w:r>
        <w:rPr>
          <w:rStyle w:val="normaltextrun"/>
          <w:sz w:val="22"/>
          <w:szCs w:val="22"/>
          <w:lang w:val="fr-FR"/>
        </w:rPr>
        <w:t>Il y a-t-il usage d’équipement or composantes d’équipement ou services applicables par le soumissionnaire qui tombe sous « outils et services de télécommunications » int</w:t>
      </w:r>
      <w:r>
        <w:rPr>
          <w:rStyle w:val="normaltextrun"/>
          <w:sz w:val="22"/>
          <w:szCs w:val="22"/>
          <w:lang w:val="fr-FR"/>
        </w:rPr>
        <w:t>erdit ? Oui ou Non.</w:t>
      </w:r>
      <w:r>
        <w:rPr>
          <w:rStyle w:val="eop"/>
          <w:sz w:val="22"/>
          <w:szCs w:val="22"/>
          <w:lang w:val="fr-FR"/>
        </w:rPr>
        <w:t> </w:t>
      </w:r>
    </w:p>
    <w:p w:rsidR="00D553F8" w:rsidRDefault="00D553F8">
      <w:pPr>
        <w:pStyle w:val="paragraph"/>
        <w:spacing w:before="0" w:beforeAutospacing="0" w:after="0" w:afterAutospacing="0"/>
        <w:contextualSpacing/>
        <w:textAlignment w:val="baseline"/>
        <w:rPr>
          <w:sz w:val="22"/>
          <w:szCs w:val="22"/>
          <w:lang w:val="fr-FR"/>
        </w:rPr>
      </w:pPr>
    </w:p>
    <w:p w:rsidR="00D553F8" w:rsidRDefault="003461E1">
      <w:pPr>
        <w:pStyle w:val="paragraph"/>
        <w:spacing w:before="0" w:beforeAutospacing="0" w:after="0" w:afterAutospacing="0"/>
        <w:contextualSpacing/>
        <w:textAlignment w:val="baseline"/>
        <w:rPr>
          <w:sz w:val="22"/>
          <w:szCs w:val="22"/>
          <w:lang w:val="fr-FR"/>
        </w:rPr>
      </w:pPr>
      <w:r>
        <w:rPr>
          <w:rStyle w:val="normaltextrun"/>
          <w:sz w:val="22"/>
          <w:szCs w:val="22"/>
          <w:lang w:val="fr-FR"/>
        </w:rPr>
        <w:t xml:space="preserve">Signature </w:t>
      </w:r>
      <w:proofErr w:type="gramStart"/>
      <w:r>
        <w:rPr>
          <w:rStyle w:val="normaltextrun"/>
          <w:sz w:val="22"/>
          <w:szCs w:val="22"/>
          <w:lang w:val="fr-FR"/>
        </w:rPr>
        <w:t>autorisée:</w:t>
      </w:r>
      <w:proofErr w:type="gramEnd"/>
      <w:r>
        <w:rPr>
          <w:rStyle w:val="normaltextrun"/>
          <w:sz w:val="22"/>
          <w:szCs w:val="22"/>
          <w:lang w:val="fr-FR"/>
        </w:rPr>
        <w:t xml:space="preserve"> ______________________________________________________ </w:t>
      </w:r>
      <w:r>
        <w:rPr>
          <w:rStyle w:val="eop"/>
          <w:sz w:val="22"/>
          <w:szCs w:val="22"/>
          <w:lang w:val="fr-FR"/>
        </w:rPr>
        <w:t> </w:t>
      </w:r>
    </w:p>
    <w:p w:rsidR="00D553F8" w:rsidRDefault="00D553F8">
      <w:pPr>
        <w:pStyle w:val="paragraph"/>
        <w:spacing w:before="0" w:beforeAutospacing="0" w:after="0" w:afterAutospacing="0"/>
        <w:contextualSpacing/>
        <w:textAlignment w:val="baseline"/>
        <w:rPr>
          <w:rStyle w:val="normaltextrun"/>
          <w:sz w:val="22"/>
          <w:szCs w:val="22"/>
          <w:shd w:val="clear" w:color="auto" w:fill="FFFFFF"/>
          <w:lang w:val="fr-FR"/>
        </w:rPr>
      </w:pPr>
    </w:p>
    <w:p w:rsidR="00D553F8" w:rsidRDefault="003461E1">
      <w:pPr>
        <w:pStyle w:val="paragraph"/>
        <w:spacing w:before="0" w:beforeAutospacing="0" w:after="0" w:afterAutospacing="0"/>
        <w:contextualSpacing/>
        <w:textAlignment w:val="baseline"/>
        <w:rPr>
          <w:sz w:val="22"/>
          <w:szCs w:val="22"/>
          <w:lang w:val="fr-FR"/>
        </w:rPr>
      </w:pPr>
      <w:r>
        <w:rPr>
          <w:rStyle w:val="normaltextrun"/>
          <w:sz w:val="22"/>
          <w:szCs w:val="22"/>
          <w:shd w:val="clear" w:color="auto" w:fill="FFFFFF"/>
          <w:lang w:val="fr-FR"/>
        </w:rPr>
        <w:t>Nom et titre du signataire</w:t>
      </w:r>
      <w:r>
        <w:rPr>
          <w:rStyle w:val="normaltextrun"/>
          <w:sz w:val="22"/>
          <w:szCs w:val="22"/>
          <w:lang w:val="fr-FR"/>
        </w:rPr>
        <w:t xml:space="preserve"> </w:t>
      </w:r>
      <w:proofErr w:type="gramStart"/>
      <w:r>
        <w:rPr>
          <w:rStyle w:val="normaltextrun"/>
          <w:sz w:val="22"/>
          <w:szCs w:val="22"/>
          <w:lang w:val="fr-FR"/>
        </w:rPr>
        <w:t>::</w:t>
      </w:r>
      <w:proofErr w:type="gramEnd"/>
      <w:r>
        <w:rPr>
          <w:rStyle w:val="normaltextrun"/>
          <w:sz w:val="22"/>
          <w:szCs w:val="22"/>
          <w:lang w:val="fr-FR"/>
        </w:rPr>
        <w:t xml:space="preserve"> _________________________________________________ </w:t>
      </w:r>
      <w:r>
        <w:rPr>
          <w:rStyle w:val="eop"/>
          <w:sz w:val="22"/>
          <w:szCs w:val="22"/>
          <w:lang w:val="fr-FR"/>
        </w:rPr>
        <w:t> </w:t>
      </w:r>
    </w:p>
    <w:p w:rsidR="00D553F8" w:rsidRDefault="00D553F8">
      <w:pPr>
        <w:pStyle w:val="paragraph"/>
        <w:spacing w:before="0" w:beforeAutospacing="0" w:after="0" w:afterAutospacing="0"/>
        <w:contextualSpacing/>
        <w:textAlignment w:val="baseline"/>
        <w:rPr>
          <w:rStyle w:val="normaltextrun"/>
          <w:sz w:val="22"/>
          <w:szCs w:val="22"/>
          <w:lang w:val="fr-FR"/>
        </w:rPr>
      </w:pPr>
    </w:p>
    <w:p w:rsidR="00D553F8" w:rsidRDefault="003461E1">
      <w:pPr>
        <w:pStyle w:val="paragraph"/>
        <w:spacing w:before="0" w:beforeAutospacing="0" w:after="0" w:afterAutospacing="0"/>
        <w:contextualSpacing/>
        <w:textAlignment w:val="baseline"/>
        <w:rPr>
          <w:sz w:val="22"/>
          <w:szCs w:val="22"/>
          <w:lang w:val="fr-FR"/>
        </w:rPr>
      </w:pPr>
      <w:proofErr w:type="gramStart"/>
      <w:r>
        <w:rPr>
          <w:rStyle w:val="normaltextrun"/>
          <w:sz w:val="22"/>
          <w:szCs w:val="22"/>
          <w:lang w:val="fr-FR"/>
        </w:rPr>
        <w:t>Date:</w:t>
      </w:r>
      <w:proofErr w:type="gramEnd"/>
      <w:r>
        <w:rPr>
          <w:rStyle w:val="normaltextrun"/>
          <w:sz w:val="22"/>
          <w:szCs w:val="22"/>
          <w:lang w:val="fr-FR"/>
        </w:rPr>
        <w:t xml:space="preserve"> __________________________________________________________________</w:t>
      </w:r>
      <w:r>
        <w:rPr>
          <w:rStyle w:val="normaltextrun"/>
          <w:sz w:val="22"/>
          <w:szCs w:val="22"/>
          <w:lang w:val="fr-FR"/>
        </w:rPr>
        <w:t>_</w:t>
      </w:r>
      <w:r>
        <w:rPr>
          <w:rStyle w:val="eop"/>
          <w:sz w:val="22"/>
          <w:szCs w:val="22"/>
          <w:lang w:val="fr-FR"/>
        </w:rPr>
        <w:t> </w:t>
      </w:r>
    </w:p>
    <w:p w:rsidR="00D553F8" w:rsidRDefault="003461E1">
      <w:pPr>
        <w:pStyle w:val="paragraph"/>
        <w:spacing w:before="0" w:beforeAutospacing="0" w:after="0" w:afterAutospacing="0"/>
        <w:contextualSpacing/>
        <w:textAlignment w:val="baseline"/>
        <w:rPr>
          <w:sz w:val="22"/>
          <w:szCs w:val="22"/>
          <w:lang w:val="fr-FR"/>
        </w:rPr>
      </w:pPr>
      <w:r>
        <w:rPr>
          <w:rStyle w:val="eop"/>
          <w:sz w:val="22"/>
          <w:szCs w:val="22"/>
          <w:lang w:val="fr-FR"/>
        </w:rPr>
        <w:t>  </w:t>
      </w: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lang w:val="fr-FR"/>
        </w:rPr>
        <w:t xml:space="preserve">Nom de l’entreprise : </w:t>
      </w:r>
      <w:r>
        <w:rPr>
          <w:sz w:val="22"/>
          <w:szCs w:val="22"/>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rStyle w:val="eop"/>
          <w:sz w:val="22"/>
          <w:szCs w:val="22"/>
          <w:lang w:val="fr-FR"/>
        </w:rPr>
        <w:t> </w:t>
      </w:r>
    </w:p>
    <w:p w:rsidR="00D553F8" w:rsidRDefault="003461E1">
      <w:pPr>
        <w:pStyle w:val="paragraph"/>
        <w:spacing w:before="0" w:beforeAutospacing="0" w:after="0" w:afterAutospacing="0"/>
        <w:ind w:left="360"/>
        <w:contextualSpacing/>
        <w:jc w:val="both"/>
        <w:textAlignment w:val="baseline"/>
        <w:rPr>
          <w:sz w:val="22"/>
          <w:szCs w:val="22"/>
          <w:lang w:val="fr-FR"/>
        </w:rPr>
      </w:pPr>
      <w:r>
        <w:rPr>
          <w:rStyle w:val="eop"/>
          <w:sz w:val="22"/>
          <w:szCs w:val="22"/>
          <w:lang w:val="fr-FR"/>
        </w:rPr>
        <w:t> </w:t>
      </w: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lang w:val="fr-FR"/>
        </w:rPr>
        <w:t xml:space="preserve">Adresse de l’entreprise : </w:t>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rStyle w:val="eop"/>
          <w:sz w:val="22"/>
          <w:szCs w:val="22"/>
          <w:lang w:val="fr-FR"/>
        </w:rPr>
        <w:t> </w:t>
      </w:r>
    </w:p>
    <w:p w:rsidR="00D553F8" w:rsidRDefault="003461E1">
      <w:pPr>
        <w:pStyle w:val="paragraph"/>
        <w:spacing w:before="0" w:beforeAutospacing="0" w:after="0" w:afterAutospacing="0"/>
        <w:ind w:left="360"/>
        <w:contextualSpacing/>
        <w:jc w:val="both"/>
        <w:textAlignment w:val="baseline"/>
        <w:rPr>
          <w:sz w:val="22"/>
          <w:szCs w:val="22"/>
          <w:lang w:val="fr-FR"/>
        </w:rPr>
      </w:pPr>
      <w:r>
        <w:rPr>
          <w:rStyle w:val="eop"/>
          <w:sz w:val="22"/>
          <w:szCs w:val="22"/>
          <w:lang w:val="fr-FR"/>
        </w:rPr>
        <w:t> </w:t>
      </w: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shd w:val="clear" w:color="auto" w:fill="FFFFFF"/>
          <w:lang w:val="fr-FR"/>
        </w:rPr>
        <w:t>Téléphone de l'entreprise et site Web :</w:t>
      </w:r>
      <w:r>
        <w:rPr>
          <w:rStyle w:val="tabchar"/>
          <w:color w:val="212121"/>
          <w:lang w:val="fr-FR"/>
        </w:rPr>
        <w:tab/>
      </w:r>
      <w:r>
        <w:rPr>
          <w:rStyle w:val="tabchar"/>
          <w:lang w:val="fr-FR"/>
        </w:rPr>
        <w:tab/>
      </w:r>
      <w:r>
        <w:rPr>
          <w:rStyle w:val="tabchar"/>
          <w:lang w:val="fr-FR"/>
        </w:rPr>
        <w:tab/>
      </w:r>
      <w:r>
        <w:rPr>
          <w:rStyle w:val="tabchar"/>
          <w:lang w:val="fr-FR"/>
        </w:rPr>
        <w:tab/>
      </w:r>
      <w:r>
        <w:rPr>
          <w:rStyle w:val="tabchar"/>
          <w:lang w:val="fr-FR"/>
        </w:rPr>
        <w:tab/>
      </w:r>
      <w:r>
        <w:rPr>
          <w:rStyle w:val="tabchar"/>
          <w:lang w:val="fr-FR"/>
        </w:rPr>
        <w:tab/>
      </w:r>
      <w:r>
        <w:rPr>
          <w:rStyle w:val="tabchar"/>
          <w:lang w:val="fr-FR"/>
        </w:rPr>
        <w:tab/>
      </w:r>
      <w:r>
        <w:rPr>
          <w:rStyle w:val="tabchar"/>
          <w:sz w:val="22"/>
          <w:szCs w:val="22"/>
          <w:lang w:val="fr-FR"/>
        </w:rPr>
        <w:tab/>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 xml:space="preserve">Enregistrement de la société ou numéro d'identification du contribuable : </w:t>
      </w:r>
      <w:r>
        <w:rPr>
          <w:sz w:val="22"/>
          <w:szCs w:val="22"/>
          <w:lang w:val="fr-FR"/>
        </w:rPr>
        <w:tab/>
      </w:r>
      <w:r>
        <w:rPr>
          <w:sz w:val="22"/>
          <w:szCs w:val="22"/>
          <w:lang w:val="fr-FR"/>
        </w:rPr>
        <w:tab/>
      </w:r>
      <w:r>
        <w:rPr>
          <w:sz w:val="22"/>
          <w:szCs w:val="22"/>
          <w:lang w:val="fr-FR"/>
        </w:rPr>
        <w:tab/>
      </w:r>
      <w:r>
        <w:rPr>
          <w:sz w:val="22"/>
          <w:szCs w:val="22"/>
          <w:lang w:val="fr-FR"/>
        </w:rPr>
        <w:tab/>
      </w:r>
      <w:r>
        <w:rPr>
          <w:sz w:val="22"/>
          <w:szCs w:val="22"/>
          <w:lang w:val="fr-FR"/>
        </w:rPr>
        <w:tab/>
      </w:r>
      <w:r>
        <w:rPr>
          <w:sz w:val="22"/>
          <w:szCs w:val="22"/>
          <w:lang w:val="fr-FR"/>
        </w:rPr>
        <w:tab/>
      </w:r>
      <w:r>
        <w:rPr>
          <w:sz w:val="22"/>
          <w:szCs w:val="22"/>
          <w:lang w:val="fr-FR"/>
        </w:rPr>
        <w:tab/>
      </w:r>
      <w:r>
        <w:rPr>
          <w:rStyle w:val="eop"/>
          <w:sz w:val="22"/>
          <w:szCs w:val="22"/>
          <w:lang w:val="fr-FR"/>
        </w:rPr>
        <w:t> </w:t>
      </w: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shd w:val="clear" w:color="auto" w:fill="FFFFFF"/>
          <w:lang w:val="fr-FR"/>
        </w:rPr>
        <w:t>L'entreprise possède-t-elle un compte bancaire actif (Oui / Non</w:t>
      </w:r>
      <w:proofErr w:type="gramStart"/>
      <w:r>
        <w:rPr>
          <w:rStyle w:val="normaltextrun"/>
          <w:sz w:val="22"/>
          <w:szCs w:val="22"/>
          <w:shd w:val="clear" w:color="auto" w:fill="FFFFFF"/>
          <w:lang w:val="fr-FR"/>
        </w:rPr>
        <w:t>)?</w:t>
      </w:r>
      <w:proofErr w:type="gramEnd"/>
      <w:r>
        <w:rPr>
          <w:rStyle w:val="normaltextrun"/>
          <w:sz w:val="22"/>
          <w:szCs w:val="22"/>
          <w:shd w:val="clear" w:color="auto" w:fill="FFFFFF"/>
          <w:lang w:val="fr-FR"/>
        </w:rPr>
        <w:t xml:space="preserve"> </w:t>
      </w:r>
      <w:r>
        <w:rPr>
          <w:rStyle w:val="tabchar"/>
          <w:color w:val="212121"/>
          <w:lang w:val="fr-FR"/>
        </w:rPr>
        <w:tab/>
      </w:r>
      <w:r>
        <w:rPr>
          <w:rStyle w:val="tabchar"/>
          <w:lang w:val="fr-FR"/>
        </w:rPr>
        <w:tab/>
      </w:r>
      <w:r>
        <w:rPr>
          <w:rStyle w:val="tabchar"/>
          <w:lang w:val="fr-FR"/>
        </w:rPr>
        <w:tab/>
      </w:r>
      <w:r>
        <w:rPr>
          <w:rStyle w:val="tabchar"/>
          <w:lang w:val="fr-FR"/>
        </w:rPr>
        <w:tab/>
      </w:r>
      <w:r>
        <w:rPr>
          <w:rStyle w:val="tabchar"/>
          <w:sz w:val="22"/>
          <w:szCs w:val="22"/>
          <w:lang w:val="fr-FR"/>
        </w:rPr>
        <w:tab/>
      </w:r>
      <w:r>
        <w:rPr>
          <w:rStyle w:val="tabchar"/>
          <w:sz w:val="22"/>
          <w:szCs w:val="22"/>
          <w:lang w:val="fr-FR"/>
        </w:rPr>
        <w:tab/>
      </w:r>
      <w:r>
        <w:rPr>
          <w:rStyle w:val="eop"/>
          <w:sz w:val="22"/>
          <w:szCs w:val="22"/>
          <w:lang w:val="fr-FR"/>
        </w:rPr>
        <w:t> </w:t>
      </w:r>
    </w:p>
    <w:p w:rsidR="00D553F8" w:rsidRDefault="003461E1">
      <w:pPr>
        <w:pStyle w:val="paragraph"/>
        <w:spacing w:before="0" w:beforeAutospacing="0" w:after="0" w:afterAutospacing="0"/>
        <w:contextualSpacing/>
        <w:jc w:val="both"/>
        <w:rPr>
          <w:sz w:val="22"/>
          <w:szCs w:val="22"/>
          <w:u w:val="single"/>
          <w:lang w:val="fr-FR"/>
        </w:rPr>
      </w:pPr>
      <w:r>
        <w:rPr>
          <w:rStyle w:val="normaltextrun"/>
          <w:sz w:val="22"/>
          <w:szCs w:val="22"/>
          <w:lang w:val="fr-FR"/>
        </w:rPr>
        <w:t>Nom officiel associé au compte bancaire (pour paiement</w:t>
      </w:r>
      <w:proofErr w:type="gramStart"/>
      <w:r>
        <w:rPr>
          <w:rStyle w:val="normaltextrun"/>
          <w:sz w:val="22"/>
          <w:szCs w:val="22"/>
          <w:lang w:val="fr-FR"/>
        </w:rPr>
        <w:t>):</w:t>
      </w:r>
      <w:proofErr w:type="gramEnd"/>
      <w:r>
        <w:rPr>
          <w:rStyle w:val="normaltextrun"/>
          <w:sz w:val="22"/>
          <w:szCs w:val="22"/>
          <w:lang w:val="fr-FR"/>
        </w:rPr>
        <w:t xml:space="preserve"> </w:t>
      </w:r>
      <w:r>
        <w:rPr>
          <w:sz w:val="22"/>
          <w:szCs w:val="22"/>
          <w:u w:val="single"/>
          <w:lang w:val="fr-FR"/>
        </w:rPr>
        <w:tab/>
      </w:r>
      <w:r>
        <w:rPr>
          <w:sz w:val="22"/>
          <w:szCs w:val="22"/>
          <w:u w:val="single"/>
          <w:lang w:val="fr-FR"/>
        </w:rPr>
        <w:tab/>
      </w:r>
      <w:r>
        <w:rPr>
          <w:sz w:val="22"/>
          <w:szCs w:val="22"/>
          <w:u w:val="single"/>
          <w:lang w:val="fr-FR"/>
        </w:rPr>
        <w:tab/>
        <w:t>_______</w:t>
      </w:r>
      <w:r>
        <w:rPr>
          <w:sz w:val="22"/>
          <w:szCs w:val="22"/>
          <w:u w:val="single"/>
          <w:lang w:val="fr-FR"/>
        </w:rPr>
        <w:tab/>
        <w:t xml:space="preserve">           </w:t>
      </w:r>
    </w:p>
    <w:p w:rsidR="00D553F8" w:rsidRDefault="003461E1">
      <w:pPr>
        <w:pStyle w:val="paragraph"/>
        <w:spacing w:before="0" w:beforeAutospacing="0" w:after="0" w:afterAutospacing="0"/>
        <w:ind w:left="-360"/>
        <w:contextualSpacing/>
        <w:jc w:val="both"/>
        <w:textAlignment w:val="baseline"/>
        <w:rPr>
          <w:rStyle w:val="eop"/>
          <w:sz w:val="22"/>
          <w:szCs w:val="22"/>
          <w:lang w:val="fr-FR"/>
        </w:rPr>
      </w:pPr>
      <w:r>
        <w:rPr>
          <w:rStyle w:val="eop"/>
          <w:sz w:val="22"/>
          <w:szCs w:val="22"/>
          <w:lang w:val="fr-FR"/>
        </w:rPr>
        <w:t> </w:t>
      </w:r>
    </w:p>
    <w:p w:rsidR="00D553F8" w:rsidRDefault="00D553F8">
      <w:pPr>
        <w:spacing w:after="160" w:line="259" w:lineRule="auto"/>
        <w:rPr>
          <w:rStyle w:val="normaltextrun"/>
          <w:rFonts w:ascii="Times New Roman" w:hAnsi="Times New Roman" w:cs="Times New Roman"/>
          <w:b/>
          <w:bCs/>
          <w:sz w:val="22"/>
          <w:szCs w:val="22"/>
          <w:lang w:val="fr-FR"/>
        </w:rPr>
      </w:pPr>
    </w:p>
    <w:p w:rsidR="00D553F8" w:rsidRDefault="003461E1">
      <w:pPr>
        <w:spacing w:after="160" w:line="259" w:lineRule="auto"/>
        <w:rPr>
          <w:rFonts w:ascii="Times New Roman" w:eastAsia="Times New Roman" w:hAnsi="Times New Roman" w:cs="Times New Roman"/>
          <w:b/>
          <w:bCs/>
          <w:sz w:val="22"/>
          <w:szCs w:val="22"/>
          <w:lang w:val="fr-FR"/>
        </w:rPr>
      </w:pPr>
      <w:r>
        <w:rPr>
          <w:rStyle w:val="normaltextrun"/>
          <w:rFonts w:ascii="Times New Roman" w:hAnsi="Times New Roman" w:cs="Times New Roman"/>
          <w:b/>
          <w:bCs/>
          <w:sz w:val="22"/>
          <w:szCs w:val="22"/>
          <w:lang w:val="fr-FR"/>
        </w:rPr>
        <w:t>RÉSERVES</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L’Administration de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International se réserve le droit de ne donner aucune sui</w:t>
      </w:r>
      <w:r>
        <w:rPr>
          <w:rFonts w:ascii="Times New Roman" w:eastAsia="Times New Roman" w:hAnsi="Times New Roman" w:cs="Times New Roman"/>
          <w:sz w:val="22"/>
          <w:szCs w:val="22"/>
          <w:lang w:val="fr-FR"/>
        </w:rPr>
        <w:t xml:space="preserve">te à tout ou partie du présent appel d’offres.  Tous les coûts associés à la préparation et la soumission d’une offre en réponse à cet appel de demandes est de la seule responsabilité du soumissionnaire.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Veuillez noter qu’en cas de lacunes significatives</w:t>
      </w:r>
      <w:r>
        <w:rPr>
          <w:rFonts w:ascii="Times New Roman" w:eastAsia="Times New Roman" w:hAnsi="Times New Roman" w:cs="Times New Roman"/>
          <w:sz w:val="22"/>
          <w:szCs w:val="22"/>
          <w:lang w:val="fr-FR"/>
        </w:rPr>
        <w:t xml:space="preserve"> concernant la réponse aux exigences de cette demande </w:t>
      </w:r>
      <w:proofErr w:type="gramStart"/>
      <w:r>
        <w:rPr>
          <w:rFonts w:ascii="Times New Roman" w:eastAsia="Times New Roman" w:hAnsi="Times New Roman" w:cs="Times New Roman"/>
          <w:sz w:val="22"/>
          <w:szCs w:val="22"/>
          <w:lang w:val="fr-FR"/>
        </w:rPr>
        <w:t>de offres</w:t>
      </w:r>
      <w:proofErr w:type="gramEnd"/>
      <w:r>
        <w:rPr>
          <w:rFonts w:ascii="Times New Roman" w:eastAsia="Times New Roman" w:hAnsi="Times New Roman" w:cs="Times New Roman"/>
          <w:sz w:val="22"/>
          <w:szCs w:val="22"/>
          <w:lang w:val="fr-FR"/>
        </w:rPr>
        <w:t xml:space="preserve">, une offre peut être jugée "non recevable" et donc exclue de la compétition.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se réserve également le droit d’user de son pouvoir discrétionnaire en renonçant à des irrégularités n</w:t>
      </w:r>
      <w:r>
        <w:rPr>
          <w:rFonts w:ascii="Times New Roman" w:eastAsia="Times New Roman" w:hAnsi="Times New Roman" w:cs="Times New Roman"/>
          <w:sz w:val="22"/>
          <w:szCs w:val="22"/>
          <w:lang w:val="fr-FR"/>
        </w:rPr>
        <w:t xml:space="preserve">on significatives.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Les offres les plus compétitives sont demandées.   L'attribution de ce marché se fera uniquement sur la base des offres originales et reçues dans les délais impartis. Cependant,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se réserve le droit d'effectuer l'une des opé</w:t>
      </w:r>
      <w:r>
        <w:rPr>
          <w:rFonts w:ascii="Times New Roman" w:eastAsia="Times New Roman" w:hAnsi="Times New Roman" w:cs="Times New Roman"/>
          <w:sz w:val="22"/>
          <w:szCs w:val="22"/>
          <w:lang w:val="fr-FR"/>
        </w:rPr>
        <w:t>rations suivantes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peut mener des négociations avec et/ou demander des clarifications à tout soumissionnaire avant l'attribution d’un contrat.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Bien que la préférence soit accordée aux soumissionnaires répondant à toutes les exigences techniques de cette demande de offres,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peut attribuer un contrat partiel ou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Répartir le contrat entre différents fournisseurs, si cela est dans </w:t>
      </w:r>
      <w:r>
        <w:rPr>
          <w:rFonts w:ascii="Times New Roman" w:eastAsia="Times New Roman" w:hAnsi="Times New Roman" w:cs="Times New Roman"/>
          <w:sz w:val="22"/>
          <w:szCs w:val="22"/>
          <w:lang w:val="fr-FR"/>
        </w:rPr>
        <w:t>l'intérêt du projet McGovern- Dole.</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lastRenderedPageBreak/>
        <w:t xml:space="preserve">•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peut éventuellement aussi annuler cet appel d’offres à tout moment.  Veuillez noter qu'en soumettant une réponse à cet avis appel d’offres, le soumissionnaire comprend que l’USDA n'est pas une partie à cett</w:t>
      </w:r>
      <w:r>
        <w:rPr>
          <w:rFonts w:ascii="Times New Roman" w:eastAsia="Times New Roman" w:hAnsi="Times New Roman" w:cs="Times New Roman"/>
          <w:sz w:val="22"/>
          <w:szCs w:val="22"/>
          <w:lang w:val="fr-FR"/>
        </w:rPr>
        <w:t xml:space="preserve">e sollicitation et le soumissionnaire accepte que toute réclamation </w:t>
      </w:r>
      <w:proofErr w:type="spellStart"/>
      <w:r>
        <w:rPr>
          <w:rFonts w:ascii="Times New Roman" w:eastAsia="Times New Roman" w:hAnsi="Times New Roman" w:cs="Times New Roman"/>
          <w:sz w:val="22"/>
          <w:szCs w:val="22"/>
          <w:lang w:val="fr-FR"/>
        </w:rPr>
        <w:t>cidessous</w:t>
      </w:r>
      <w:proofErr w:type="spellEnd"/>
      <w:r>
        <w:rPr>
          <w:rFonts w:ascii="Times New Roman" w:eastAsia="Times New Roman" w:hAnsi="Times New Roman" w:cs="Times New Roman"/>
          <w:sz w:val="22"/>
          <w:szCs w:val="22"/>
          <w:lang w:val="fr-FR"/>
        </w:rPr>
        <w:t xml:space="preserve"> doit être présentée - par écrit avec des explications complètes – à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pour considération, car l’USDA ne tiendra pas compte des réclamations concernant les services effe</w:t>
      </w:r>
      <w:r>
        <w:rPr>
          <w:rFonts w:ascii="Times New Roman" w:eastAsia="Times New Roman" w:hAnsi="Times New Roman" w:cs="Times New Roman"/>
          <w:sz w:val="22"/>
          <w:szCs w:val="22"/>
          <w:lang w:val="fr-FR"/>
        </w:rPr>
        <w:t>ctués par les partenaires d'exécution. Les offres reçues en retard ne seront considérées qu'avec l’aval de COUNTERPART</w:t>
      </w:r>
    </w:p>
    <w:p w:rsidR="00D553F8" w:rsidRDefault="00D553F8">
      <w:pPr>
        <w:contextualSpacing/>
        <w:rPr>
          <w:rFonts w:ascii="Times New Roman" w:eastAsia="Times New Roman" w:hAnsi="Times New Roman" w:cs="Times New Roman"/>
          <w:sz w:val="22"/>
          <w:szCs w:val="22"/>
          <w:lang w:val="fr-FR"/>
        </w:rPr>
      </w:pP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b/>
          <w:bCs/>
          <w:sz w:val="22"/>
          <w:szCs w:val="22"/>
          <w:u w:val="single"/>
          <w:lang w:val="fr-FR"/>
        </w:rPr>
        <w:t>Acceptation de la politique de confidentialité et des terme et conditions</w:t>
      </w: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w:t>
      </w:r>
    </w:p>
    <w:p w:rsidR="00D553F8" w:rsidRDefault="003461E1">
      <w:pPr>
        <w:contextualSpacing/>
        <w:jc w:val="both"/>
        <w:rPr>
          <w:rFonts w:ascii="Times New Roman" w:eastAsia="Times New Roman" w:hAnsi="Times New Roman" w:cs="Times New Roman"/>
          <w:sz w:val="22"/>
          <w:szCs w:val="22"/>
          <w:lang w:val="fr-FR"/>
        </w:rPr>
      </w:pPr>
      <w:proofErr w:type="gramStart"/>
      <w:r>
        <w:rPr>
          <w:rFonts w:ascii="Times New Roman" w:eastAsia="Times New Roman" w:hAnsi="Times New Roman" w:cs="Times New Roman"/>
          <w:sz w:val="22"/>
          <w:szCs w:val="22"/>
          <w:lang w:val="fr-FR"/>
        </w:rPr>
        <w:t xml:space="preserve">En soumettant un devis/une proposition à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Interna</w:t>
      </w:r>
      <w:r>
        <w:rPr>
          <w:rFonts w:ascii="Times New Roman" w:eastAsia="Times New Roman" w:hAnsi="Times New Roman" w:cs="Times New Roman"/>
          <w:sz w:val="22"/>
          <w:szCs w:val="22"/>
          <w:lang w:val="fr-FR"/>
        </w:rPr>
        <w:t xml:space="preserve">tional, l'entreprise ou l'individuel termes et conditions de la politique de confidentialité de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 nt aux </w:t>
      </w:r>
      <w:hyperlink r:id="rId16">
        <w:r>
          <w:rPr>
            <w:rStyle w:val="Lienhypertexte"/>
            <w:rFonts w:ascii="Times New Roman" w:eastAsia="Times New Roman" w:hAnsi="Times New Roman" w:cs="Times New Roman"/>
            <w:color w:val="auto"/>
            <w:sz w:val="22"/>
            <w:szCs w:val="22"/>
            <w:lang w:val="fr-FR"/>
          </w:rPr>
          <w:t>https://www.counterpart.org/terms</w:t>
        </w:r>
      </w:hyperlink>
      <w:r>
        <w:rPr>
          <w:rFonts w:ascii="Times New Roman" w:eastAsia="Times New Roman" w:hAnsi="Times New Roman" w:cs="Times New Roman"/>
          <w:sz w:val="22"/>
          <w:szCs w:val="22"/>
          <w:lang w:val="fr-FR"/>
        </w:rPr>
        <w:t xml:space="preserve"> and conditions/ ), et donne à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Internatio</w:t>
      </w:r>
      <w:r>
        <w:rPr>
          <w:rFonts w:ascii="Times New Roman" w:eastAsia="Times New Roman" w:hAnsi="Times New Roman" w:cs="Times New Roman"/>
          <w:sz w:val="22"/>
          <w:szCs w:val="22"/>
          <w:lang w:val="fr-FR"/>
        </w:rPr>
        <w:t xml:space="preserve">nal la permission de traiter les données personnelles de l'entreprise ou de l'individu spécifiquement pour l'exécution de, et les buts identifiés dans, ce document de sollicitation et en conformité avec les obligations légales de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en vertu des l</w:t>
      </w:r>
      <w:r>
        <w:rPr>
          <w:rFonts w:ascii="Times New Roman" w:eastAsia="Times New Roman" w:hAnsi="Times New Roman" w:cs="Times New Roman"/>
          <w:sz w:val="22"/>
          <w:szCs w:val="22"/>
          <w:lang w:val="fr-FR"/>
        </w:rPr>
        <w:t>ois applicables des États Unis et de l'Union Européenne, la protection des données et les règlements et toute autre exigence légale applicable.</w:t>
      </w:r>
      <w:proofErr w:type="gramEnd"/>
      <w:r>
        <w:rPr>
          <w:rFonts w:ascii="Times New Roman" w:eastAsia="Times New Roman" w:hAnsi="Times New Roman" w:cs="Times New Roman"/>
          <w:sz w:val="22"/>
          <w:szCs w:val="22"/>
          <w:lang w:val="fr-FR"/>
        </w:rPr>
        <w:t xml:space="preserve"> L'entreprise/le particulier peut retirer son consentement à tout moment en contactant </w:t>
      </w:r>
      <w:hyperlink r:id="rId17">
        <w:r>
          <w:rPr>
            <w:rStyle w:val="Lienhypertexte"/>
            <w:rFonts w:ascii="Times New Roman" w:eastAsia="Times New Roman" w:hAnsi="Times New Roman" w:cs="Times New Roman"/>
            <w:color w:val="auto"/>
            <w:sz w:val="22"/>
            <w:szCs w:val="22"/>
            <w:lang w:val="fr-FR"/>
          </w:rPr>
          <w:t>privacy@counterpart.org</w:t>
        </w:r>
      </w:hyperlink>
      <w:r>
        <w:rPr>
          <w:rFonts w:ascii="Times New Roman" w:eastAsia="Times New Roman" w:hAnsi="Times New Roman" w:cs="Times New Roman"/>
          <w:sz w:val="22"/>
          <w:szCs w:val="22"/>
          <w:lang w:val="fr-FR"/>
        </w:rPr>
        <w:t xml:space="preserve"> . Si le consentement est retiré, </w:t>
      </w: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se réserve le droit d'accepter ou de rejeter l'offre. </w:t>
      </w: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w:t>
      </w: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b/>
          <w:bCs/>
          <w:sz w:val="22"/>
          <w:szCs w:val="22"/>
          <w:u w:val="single"/>
          <w:lang w:val="fr-FR"/>
        </w:rPr>
        <w:t>Modification des documents d’appel d’offres et offres reçues</w:t>
      </w: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w:t>
      </w:r>
    </w:p>
    <w:p w:rsidR="00D553F8" w:rsidRDefault="003461E1">
      <w:pPr>
        <w:contextualSpacing/>
        <w:jc w:val="both"/>
        <w:rPr>
          <w:rFonts w:ascii="Times New Roman" w:eastAsia="Times New Roman" w:hAnsi="Times New Roman" w:cs="Times New Roman"/>
          <w:sz w:val="22"/>
          <w:szCs w:val="22"/>
          <w:lang w:val="fr-FR"/>
        </w:rPr>
      </w:pPr>
      <w:proofErr w:type="spellStart"/>
      <w:r>
        <w:rPr>
          <w:rFonts w:ascii="Times New Roman" w:eastAsia="Times New Roman" w:hAnsi="Times New Roman" w:cs="Times New Roman"/>
          <w:sz w:val="22"/>
          <w:szCs w:val="22"/>
          <w:lang w:val="fr-FR"/>
        </w:rPr>
        <w:t>Counterpart</w:t>
      </w:r>
      <w:proofErr w:type="spellEnd"/>
      <w:r>
        <w:rPr>
          <w:rFonts w:ascii="Times New Roman" w:eastAsia="Times New Roman" w:hAnsi="Times New Roman" w:cs="Times New Roman"/>
          <w:sz w:val="22"/>
          <w:szCs w:val="22"/>
          <w:lang w:val="fr-FR"/>
        </w:rPr>
        <w:t xml:space="preserve"> International peut, à sa discré</w:t>
      </w:r>
      <w:r>
        <w:rPr>
          <w:rFonts w:ascii="Times New Roman" w:eastAsia="Times New Roman" w:hAnsi="Times New Roman" w:cs="Times New Roman"/>
          <w:sz w:val="22"/>
          <w:szCs w:val="22"/>
          <w:lang w:val="fr-FR"/>
        </w:rPr>
        <w:t>tion, pour quelque raison que ce soit, que ce soit de sa propre initiative ou en réponse à une clarification d'un Soumissionnaire, modifier les documents d'appel d'offres par amendement. Tous les soumissionnaires potentiels qui ont reçu les documents d'app</w:t>
      </w:r>
      <w:r>
        <w:rPr>
          <w:rFonts w:ascii="Times New Roman" w:eastAsia="Times New Roman" w:hAnsi="Times New Roman" w:cs="Times New Roman"/>
          <w:sz w:val="22"/>
          <w:szCs w:val="22"/>
          <w:lang w:val="fr-FR"/>
        </w:rPr>
        <w:t xml:space="preserve">el d'offres seront informés de la modification par courrier électronique et ces modifications devront être </w:t>
      </w:r>
      <w:proofErr w:type="gramStart"/>
      <w:r>
        <w:rPr>
          <w:rFonts w:ascii="Times New Roman" w:eastAsia="Times New Roman" w:hAnsi="Times New Roman" w:cs="Times New Roman"/>
          <w:sz w:val="22"/>
          <w:szCs w:val="22"/>
          <w:lang w:val="fr-FR"/>
        </w:rPr>
        <w:t>pris</w:t>
      </w:r>
      <w:proofErr w:type="gramEnd"/>
      <w:r>
        <w:rPr>
          <w:rFonts w:ascii="Times New Roman" w:eastAsia="Times New Roman" w:hAnsi="Times New Roman" w:cs="Times New Roman"/>
          <w:sz w:val="22"/>
          <w:szCs w:val="22"/>
          <w:lang w:val="fr-FR"/>
        </w:rPr>
        <w:t xml:space="preserve"> en compte par les soumissionnaires conformément aux termes et conditions. </w:t>
      </w:r>
    </w:p>
    <w:p w:rsidR="00D553F8" w:rsidRDefault="00D553F8">
      <w:pPr>
        <w:contextualSpacing/>
        <w:rPr>
          <w:rFonts w:ascii="Times New Roman" w:eastAsia="Times New Roman" w:hAnsi="Times New Roman" w:cs="Times New Roman"/>
          <w:sz w:val="22"/>
          <w:szCs w:val="22"/>
          <w:lang w:val="fr-FR"/>
        </w:rPr>
      </w:pPr>
    </w:p>
    <w:p w:rsidR="00D553F8" w:rsidRDefault="003461E1">
      <w:pPr>
        <w:pStyle w:val="paragraph"/>
        <w:spacing w:before="0" w:beforeAutospacing="0" w:after="0" w:afterAutospacing="0"/>
        <w:contextualSpacing/>
        <w:jc w:val="both"/>
        <w:rPr>
          <w:sz w:val="22"/>
          <w:szCs w:val="22"/>
          <w:lang w:val="fr-FR"/>
        </w:rPr>
      </w:pPr>
      <w:r>
        <w:rPr>
          <w:sz w:val="22"/>
          <w:szCs w:val="22"/>
          <w:lang w:val="fr-FR"/>
        </w:rPr>
        <w:t>Tout Soumissionnaire a le droit de retirer, modifier ou corriger son</w:t>
      </w:r>
      <w:r>
        <w:rPr>
          <w:sz w:val="22"/>
          <w:szCs w:val="22"/>
          <w:lang w:val="fr-FR"/>
        </w:rPr>
        <w:t xml:space="preserve"> offre après qu'elle a été remise à </w:t>
      </w:r>
      <w:proofErr w:type="spellStart"/>
      <w:r>
        <w:rPr>
          <w:sz w:val="22"/>
          <w:szCs w:val="22"/>
          <w:lang w:val="fr-FR"/>
        </w:rPr>
        <w:t>Counterpart</w:t>
      </w:r>
      <w:proofErr w:type="spellEnd"/>
      <w:r>
        <w:rPr>
          <w:sz w:val="22"/>
          <w:szCs w:val="22"/>
          <w:lang w:val="fr-FR"/>
        </w:rPr>
        <w:t xml:space="preserve">, à condition que la demande d'un tel retrait, modification ou correction ainsi que tous les détails de cette modification ou correction soient reçus par </w:t>
      </w:r>
      <w:proofErr w:type="spellStart"/>
      <w:r>
        <w:rPr>
          <w:sz w:val="22"/>
          <w:szCs w:val="22"/>
          <w:lang w:val="fr-FR"/>
        </w:rPr>
        <w:t>Counterpart</w:t>
      </w:r>
      <w:proofErr w:type="spellEnd"/>
      <w:r>
        <w:rPr>
          <w:sz w:val="22"/>
          <w:szCs w:val="22"/>
          <w:lang w:val="fr-FR"/>
        </w:rPr>
        <w:t xml:space="preserve"> au contact de soumission indiqué ci-dessus </w:t>
      </w:r>
      <w:r>
        <w:rPr>
          <w:sz w:val="22"/>
          <w:szCs w:val="22"/>
          <w:lang w:val="fr-FR"/>
        </w:rPr>
        <w:t xml:space="preserve">avant l'heure fixée pour l'ouverture des plis. </w:t>
      </w:r>
      <w:proofErr w:type="spellStart"/>
      <w:r>
        <w:rPr>
          <w:sz w:val="22"/>
          <w:szCs w:val="22"/>
          <w:lang w:val="fr-FR"/>
        </w:rPr>
        <w:t>Counterpart</w:t>
      </w:r>
      <w:proofErr w:type="spellEnd"/>
      <w:r>
        <w:rPr>
          <w:sz w:val="22"/>
          <w:szCs w:val="22"/>
          <w:lang w:val="fr-FR"/>
        </w:rPr>
        <w:t xml:space="preserve"> peut demander à tout soumissionnaire des clarifications sur son offre ; néanmoins, aucun soumissionnaire ne sera autorisé à modifier le prix de son offre ou à apporter toute autre modification impo</w:t>
      </w:r>
      <w:r>
        <w:rPr>
          <w:sz w:val="22"/>
          <w:szCs w:val="22"/>
          <w:lang w:val="fr-FR"/>
        </w:rPr>
        <w:t>rtante après la date limite à moins que la demande de propositions n'ait été modifiée ou que la date limite ne soit prolongée. Les clarifications qui ne modifient pas le prix de l'offre ou d'au très aspects importants de l'offre peuvent être acceptées.</w:t>
      </w:r>
    </w:p>
    <w:sectPr w:rsidR="00D553F8">
      <w:footerReference w:type="default" r:id="rId1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E1" w:rsidRDefault="003461E1">
      <w:r>
        <w:separator/>
      </w:r>
    </w:p>
  </w:endnote>
  <w:endnote w:type="continuationSeparator" w:id="0">
    <w:p w:rsidR="003461E1" w:rsidRDefault="0034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Segoe Print"/>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89312"/>
      <w:docPartObj>
        <w:docPartGallery w:val="AutoText"/>
      </w:docPartObj>
    </w:sdtPr>
    <w:sdtEndPr>
      <w:rPr>
        <w:rFonts w:ascii="Arial" w:hAnsi="Arial" w:cs="Arial"/>
        <w:sz w:val="20"/>
        <w:szCs w:val="20"/>
      </w:rPr>
    </w:sdtEndPr>
    <w:sdtContent>
      <w:p w:rsidR="00D553F8" w:rsidRDefault="003461E1">
        <w:pPr>
          <w:pStyle w:val="Pieddepage"/>
          <w:jc w:val="right"/>
          <w:rPr>
            <w:rFonts w:ascii="Arial" w:hAnsi="Arial" w:cs="Arial"/>
            <w:sz w:val="20"/>
            <w:szCs w:val="20"/>
          </w:rPr>
        </w:pPr>
        <w:r>
          <w:rPr>
            <w:rFonts w:ascii="Arial" w:hAnsi="Arial" w:cs="Arial"/>
            <w:color w:val="2B579A"/>
            <w:sz w:val="20"/>
            <w:szCs w:val="20"/>
            <w:shd w:val="clear" w:color="auto" w:fill="E6E6E6"/>
          </w:rPr>
          <w:fldChar w:fldCharType="begin"/>
        </w:r>
        <w:r>
          <w:rPr>
            <w:rFonts w:ascii="Arial" w:hAnsi="Arial" w:cs="Arial"/>
            <w:sz w:val="20"/>
            <w:szCs w:val="20"/>
          </w:rPr>
          <w:instrText xml:space="preserve"> PAGE   \* MERGEFORMAT </w:instrText>
        </w:r>
        <w:r>
          <w:rPr>
            <w:rFonts w:ascii="Arial" w:hAnsi="Arial" w:cs="Arial"/>
            <w:color w:val="2B579A"/>
            <w:sz w:val="20"/>
            <w:szCs w:val="20"/>
            <w:shd w:val="clear" w:color="auto" w:fill="E6E6E6"/>
          </w:rPr>
          <w:fldChar w:fldCharType="separate"/>
        </w:r>
        <w:r w:rsidR="00304A99">
          <w:rPr>
            <w:rFonts w:ascii="Arial" w:hAnsi="Arial" w:cs="Arial"/>
            <w:noProof/>
            <w:sz w:val="20"/>
            <w:szCs w:val="20"/>
          </w:rPr>
          <w:t>9</w:t>
        </w:r>
        <w:r>
          <w:rPr>
            <w:rFonts w:ascii="Arial" w:hAnsi="Arial" w:cs="Arial"/>
            <w:color w:val="2B579A"/>
            <w:sz w:val="20"/>
            <w:szCs w:val="20"/>
            <w:shd w:val="clear" w:color="auto" w:fill="E6E6E6"/>
          </w:rPr>
          <w:fldChar w:fldCharType="end"/>
        </w:r>
      </w:p>
    </w:sdtContent>
  </w:sdt>
  <w:p w:rsidR="00D553F8" w:rsidRDefault="00D553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E1" w:rsidRDefault="003461E1">
      <w:r>
        <w:separator/>
      </w:r>
    </w:p>
  </w:footnote>
  <w:footnote w:type="continuationSeparator" w:id="0">
    <w:p w:rsidR="003461E1" w:rsidRDefault="00346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7AFD"/>
    <w:multiLevelType w:val="multilevel"/>
    <w:tmpl w:val="084A7AFD"/>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A54236"/>
    <w:multiLevelType w:val="multilevel"/>
    <w:tmpl w:val="09A5423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570227"/>
    <w:multiLevelType w:val="multilevel"/>
    <w:tmpl w:val="1057022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8331D9"/>
    <w:multiLevelType w:val="multilevel"/>
    <w:tmpl w:val="138331D9"/>
    <w:lvl w:ilvl="0">
      <w:start w:val="1"/>
      <w:numFmt w:val="decimal"/>
      <w:lvlText w:val="%1."/>
      <w:lvlJc w:val="left"/>
      <w:pPr>
        <w:ind w:left="360" w:hanging="360"/>
      </w:pPr>
    </w:lvl>
    <w:lvl w:ilvl="1">
      <w:start w:val="7"/>
      <w:numFmt w:val="bullet"/>
      <w:lvlText w:val="•"/>
      <w:lvlJc w:val="left"/>
      <w:pPr>
        <w:ind w:left="1080" w:hanging="360"/>
      </w:pPr>
      <w:rPr>
        <w:rFonts w:ascii="Times New Roman" w:eastAsiaTheme="minorHAnsi"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3D50504"/>
    <w:multiLevelType w:val="multilevel"/>
    <w:tmpl w:val="13D505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7B9C94"/>
    <w:multiLevelType w:val="multilevel"/>
    <w:tmpl w:val="197B9C94"/>
    <w:lvl w:ilvl="0">
      <w:start w:val="7"/>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1F7CB68"/>
    <w:multiLevelType w:val="multilevel"/>
    <w:tmpl w:val="31F7CB68"/>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3272946"/>
    <w:multiLevelType w:val="multilevel"/>
    <w:tmpl w:val="3327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F2B8F5"/>
    <w:multiLevelType w:val="multilevel"/>
    <w:tmpl w:val="34F2B8F5"/>
    <w:lvl w:ilvl="0">
      <w:numFmt w:val="bullet"/>
      <w:lvlText w:val="-"/>
      <w:lvlJc w:val="left"/>
      <w:pPr>
        <w:ind w:left="90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42176C1"/>
    <w:multiLevelType w:val="multilevel"/>
    <w:tmpl w:val="442176C1"/>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0">
    <w:nsid w:val="4537DD81"/>
    <w:multiLevelType w:val="multilevel"/>
    <w:tmpl w:val="4537DD81"/>
    <w:lvl w:ilvl="0">
      <w:start w:val="1"/>
      <w:numFmt w:val="decimal"/>
      <w:lvlText w:val="%1."/>
      <w:lvlJc w:val="left"/>
      <w:pPr>
        <w:ind w:left="900" w:hanging="360"/>
      </w:pPr>
      <w:rPr>
        <w:rFonts w:ascii="Times New Roman" w:hAnsi="Times New Roman" w:hint="default"/>
      </w:rPr>
    </w:lvl>
    <w:lvl w:ilvl="1">
      <w:start w:val="1"/>
      <w:numFmt w:val="lowerLetter"/>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244C67"/>
    <w:multiLevelType w:val="multilevel"/>
    <w:tmpl w:val="48244C6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4894ABE"/>
    <w:multiLevelType w:val="multilevel"/>
    <w:tmpl w:val="54894AB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3">
    <w:nsid w:val="551C0F64"/>
    <w:multiLevelType w:val="multilevel"/>
    <w:tmpl w:val="551C0F64"/>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CF330B8"/>
    <w:multiLevelType w:val="multilevel"/>
    <w:tmpl w:val="5CF33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19900E8"/>
    <w:multiLevelType w:val="multilevel"/>
    <w:tmpl w:val="619900E8"/>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6">
    <w:nsid w:val="660C082F"/>
    <w:multiLevelType w:val="multilevel"/>
    <w:tmpl w:val="660C082F"/>
    <w:lvl w:ilvl="0">
      <w:start w:val="7"/>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8465F1"/>
    <w:multiLevelType w:val="multilevel"/>
    <w:tmpl w:val="6B8465F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FBE2010"/>
    <w:multiLevelType w:val="multilevel"/>
    <w:tmpl w:val="6FBE201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5"/>
  </w:num>
  <w:num w:numId="3">
    <w:abstractNumId w:val="6"/>
  </w:num>
  <w:num w:numId="4">
    <w:abstractNumId w:val="13"/>
  </w:num>
  <w:num w:numId="5">
    <w:abstractNumId w:val="1"/>
  </w:num>
  <w:num w:numId="6">
    <w:abstractNumId w:val="16"/>
  </w:num>
  <w:num w:numId="7">
    <w:abstractNumId w:val="11"/>
  </w:num>
  <w:num w:numId="8">
    <w:abstractNumId w:val="18"/>
  </w:num>
  <w:num w:numId="9">
    <w:abstractNumId w:val="12"/>
  </w:num>
  <w:num w:numId="10">
    <w:abstractNumId w:val="15"/>
  </w:num>
  <w:num w:numId="11">
    <w:abstractNumId w:val="9"/>
  </w:num>
  <w:num w:numId="12">
    <w:abstractNumId w:val="17"/>
  </w:num>
  <w:num w:numId="13">
    <w:abstractNumId w:val="0"/>
  </w:num>
  <w:num w:numId="14">
    <w:abstractNumId w:val="4"/>
  </w:num>
  <w:num w:numId="15">
    <w:abstractNumId w:val="10"/>
  </w:num>
  <w:num w:numId="16">
    <w:abstractNumId w:val="8"/>
  </w:num>
  <w:num w:numId="17">
    <w:abstractNumId w:val="3"/>
  </w:num>
  <w:num w:numId="18">
    <w:abstractNumId w:val="2"/>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e Kennedy">
    <w15:presenceInfo w15:providerId="AD" w15:userId="S::ckennedy@counterpart.org::ee26121c-d21c-4234-abd2-6ea6d8983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1E"/>
    <w:rsid w:val="00021B8B"/>
    <w:rsid w:val="00042AEC"/>
    <w:rsid w:val="000811A7"/>
    <w:rsid w:val="000939F6"/>
    <w:rsid w:val="000B7AAF"/>
    <w:rsid w:val="000C017F"/>
    <w:rsid w:val="000C128E"/>
    <w:rsid w:val="000C2C7A"/>
    <w:rsid w:val="000C3E34"/>
    <w:rsid w:val="000D0A6D"/>
    <w:rsid w:val="00102346"/>
    <w:rsid w:val="00104A2A"/>
    <w:rsid w:val="001163DB"/>
    <w:rsid w:val="001272BA"/>
    <w:rsid w:val="00131DB2"/>
    <w:rsid w:val="00132316"/>
    <w:rsid w:val="0013373B"/>
    <w:rsid w:val="00136AE5"/>
    <w:rsid w:val="00140950"/>
    <w:rsid w:val="0014699D"/>
    <w:rsid w:val="001501DA"/>
    <w:rsid w:val="00150D7D"/>
    <w:rsid w:val="00154B83"/>
    <w:rsid w:val="00174407"/>
    <w:rsid w:val="0018503E"/>
    <w:rsid w:val="00193674"/>
    <w:rsid w:val="001C0906"/>
    <w:rsid w:val="001D095D"/>
    <w:rsid w:val="001D0E04"/>
    <w:rsid w:val="001E5C5C"/>
    <w:rsid w:val="001F2FC5"/>
    <w:rsid w:val="00202FB4"/>
    <w:rsid w:val="00210317"/>
    <w:rsid w:val="00222122"/>
    <w:rsid w:val="002334D3"/>
    <w:rsid w:val="00235975"/>
    <w:rsid w:val="00236BF7"/>
    <w:rsid w:val="0025366F"/>
    <w:rsid w:val="002536C1"/>
    <w:rsid w:val="00257B8B"/>
    <w:rsid w:val="00260975"/>
    <w:rsid w:val="00262AD5"/>
    <w:rsid w:val="00275AA5"/>
    <w:rsid w:val="00276DAB"/>
    <w:rsid w:val="00290A66"/>
    <w:rsid w:val="00292D12"/>
    <w:rsid w:val="002A088B"/>
    <w:rsid w:val="002A78BE"/>
    <w:rsid w:val="002E2BB6"/>
    <w:rsid w:val="002E6997"/>
    <w:rsid w:val="002F203E"/>
    <w:rsid w:val="00302612"/>
    <w:rsid w:val="00302AC0"/>
    <w:rsid w:val="00304A99"/>
    <w:rsid w:val="0030664C"/>
    <w:rsid w:val="0031646D"/>
    <w:rsid w:val="00316757"/>
    <w:rsid w:val="003461E1"/>
    <w:rsid w:val="00347980"/>
    <w:rsid w:val="0035680E"/>
    <w:rsid w:val="003608B9"/>
    <w:rsid w:val="00382E6A"/>
    <w:rsid w:val="003B6925"/>
    <w:rsid w:val="003B6F14"/>
    <w:rsid w:val="003C0A88"/>
    <w:rsid w:val="003D3694"/>
    <w:rsid w:val="003F2E53"/>
    <w:rsid w:val="003F3A3D"/>
    <w:rsid w:val="003F7BBD"/>
    <w:rsid w:val="004239F9"/>
    <w:rsid w:val="00435712"/>
    <w:rsid w:val="004406A4"/>
    <w:rsid w:val="004614B9"/>
    <w:rsid w:val="004625F0"/>
    <w:rsid w:val="00480D09"/>
    <w:rsid w:val="00483898"/>
    <w:rsid w:val="004A2F32"/>
    <w:rsid w:val="004A562A"/>
    <w:rsid w:val="004B5285"/>
    <w:rsid w:val="004B69CF"/>
    <w:rsid w:val="004C1AF6"/>
    <w:rsid w:val="004C550F"/>
    <w:rsid w:val="004F2C5B"/>
    <w:rsid w:val="005039C2"/>
    <w:rsid w:val="005142E7"/>
    <w:rsid w:val="00525C25"/>
    <w:rsid w:val="00541184"/>
    <w:rsid w:val="00556F81"/>
    <w:rsid w:val="00560FC3"/>
    <w:rsid w:val="0056589E"/>
    <w:rsid w:val="00566591"/>
    <w:rsid w:val="00567B5C"/>
    <w:rsid w:val="00571C8F"/>
    <w:rsid w:val="005836D0"/>
    <w:rsid w:val="005858DC"/>
    <w:rsid w:val="00586CFD"/>
    <w:rsid w:val="00590B58"/>
    <w:rsid w:val="00590DA6"/>
    <w:rsid w:val="005A5AC1"/>
    <w:rsid w:val="005A7E6C"/>
    <w:rsid w:val="005B02BC"/>
    <w:rsid w:val="005B4D05"/>
    <w:rsid w:val="005C5BBB"/>
    <w:rsid w:val="005E09EA"/>
    <w:rsid w:val="005E64F8"/>
    <w:rsid w:val="005F48A1"/>
    <w:rsid w:val="005F6668"/>
    <w:rsid w:val="006107A2"/>
    <w:rsid w:val="00613473"/>
    <w:rsid w:val="00621FA5"/>
    <w:rsid w:val="00630CCF"/>
    <w:rsid w:val="00637A00"/>
    <w:rsid w:val="0065331A"/>
    <w:rsid w:val="00657C7C"/>
    <w:rsid w:val="0066370F"/>
    <w:rsid w:val="00663FB5"/>
    <w:rsid w:val="00665C49"/>
    <w:rsid w:val="006767F3"/>
    <w:rsid w:val="00687D9C"/>
    <w:rsid w:val="006A7008"/>
    <w:rsid w:val="006B7945"/>
    <w:rsid w:val="006F41E5"/>
    <w:rsid w:val="006F641E"/>
    <w:rsid w:val="007000E2"/>
    <w:rsid w:val="00706DB6"/>
    <w:rsid w:val="007153C0"/>
    <w:rsid w:val="00717755"/>
    <w:rsid w:val="007232CF"/>
    <w:rsid w:val="0072520F"/>
    <w:rsid w:val="007352EC"/>
    <w:rsid w:val="007357AD"/>
    <w:rsid w:val="00746D8E"/>
    <w:rsid w:val="007524C3"/>
    <w:rsid w:val="00757177"/>
    <w:rsid w:val="007618A8"/>
    <w:rsid w:val="007630B2"/>
    <w:rsid w:val="00764BC8"/>
    <w:rsid w:val="00767D8C"/>
    <w:rsid w:val="00772269"/>
    <w:rsid w:val="00773265"/>
    <w:rsid w:val="007863F0"/>
    <w:rsid w:val="00790008"/>
    <w:rsid w:val="007D47A5"/>
    <w:rsid w:val="007D67F3"/>
    <w:rsid w:val="007D68C7"/>
    <w:rsid w:val="007E414F"/>
    <w:rsid w:val="007F05AA"/>
    <w:rsid w:val="007F5330"/>
    <w:rsid w:val="00806149"/>
    <w:rsid w:val="00806889"/>
    <w:rsid w:val="0081315B"/>
    <w:rsid w:val="008166DA"/>
    <w:rsid w:val="00816EFD"/>
    <w:rsid w:val="008257E4"/>
    <w:rsid w:val="00837DBD"/>
    <w:rsid w:val="00842710"/>
    <w:rsid w:val="00844966"/>
    <w:rsid w:val="00846AD5"/>
    <w:rsid w:val="00854636"/>
    <w:rsid w:val="008643B7"/>
    <w:rsid w:val="0086675E"/>
    <w:rsid w:val="008667A2"/>
    <w:rsid w:val="0086727F"/>
    <w:rsid w:val="00873336"/>
    <w:rsid w:val="00885595"/>
    <w:rsid w:val="008914B5"/>
    <w:rsid w:val="008A5906"/>
    <w:rsid w:val="008A6CB1"/>
    <w:rsid w:val="008C0B6F"/>
    <w:rsid w:val="008C3F0A"/>
    <w:rsid w:val="008C45CF"/>
    <w:rsid w:val="008C7C36"/>
    <w:rsid w:val="008D0F1B"/>
    <w:rsid w:val="008F3F67"/>
    <w:rsid w:val="008F550B"/>
    <w:rsid w:val="008F5B71"/>
    <w:rsid w:val="009163CC"/>
    <w:rsid w:val="009227DC"/>
    <w:rsid w:val="00923332"/>
    <w:rsid w:val="00931304"/>
    <w:rsid w:val="00934933"/>
    <w:rsid w:val="009360C0"/>
    <w:rsid w:val="009424A6"/>
    <w:rsid w:val="00943893"/>
    <w:rsid w:val="00957E89"/>
    <w:rsid w:val="00961D18"/>
    <w:rsid w:val="009678C8"/>
    <w:rsid w:val="00972AFB"/>
    <w:rsid w:val="009A5709"/>
    <w:rsid w:val="009A5A54"/>
    <w:rsid w:val="009B3698"/>
    <w:rsid w:val="009C5B70"/>
    <w:rsid w:val="009C633D"/>
    <w:rsid w:val="009E1567"/>
    <w:rsid w:val="009E7937"/>
    <w:rsid w:val="009F55A0"/>
    <w:rsid w:val="00A10032"/>
    <w:rsid w:val="00A108F7"/>
    <w:rsid w:val="00A12390"/>
    <w:rsid w:val="00A23D60"/>
    <w:rsid w:val="00A23D81"/>
    <w:rsid w:val="00A24FA8"/>
    <w:rsid w:val="00A27B44"/>
    <w:rsid w:val="00A3467C"/>
    <w:rsid w:val="00A35946"/>
    <w:rsid w:val="00A4067B"/>
    <w:rsid w:val="00A526C7"/>
    <w:rsid w:val="00A75C80"/>
    <w:rsid w:val="00A75CF7"/>
    <w:rsid w:val="00A91100"/>
    <w:rsid w:val="00A9222C"/>
    <w:rsid w:val="00A93087"/>
    <w:rsid w:val="00A930BB"/>
    <w:rsid w:val="00AA28A9"/>
    <w:rsid w:val="00AC5F00"/>
    <w:rsid w:val="00AD7DC5"/>
    <w:rsid w:val="00AE4C0D"/>
    <w:rsid w:val="00AF5B3F"/>
    <w:rsid w:val="00B02DF5"/>
    <w:rsid w:val="00B20CEF"/>
    <w:rsid w:val="00B30C59"/>
    <w:rsid w:val="00B5413D"/>
    <w:rsid w:val="00B70F8E"/>
    <w:rsid w:val="00B824FC"/>
    <w:rsid w:val="00B90ACA"/>
    <w:rsid w:val="00B92865"/>
    <w:rsid w:val="00BA4DC1"/>
    <w:rsid w:val="00BB417E"/>
    <w:rsid w:val="00BB76E3"/>
    <w:rsid w:val="00BC6A7B"/>
    <w:rsid w:val="00BD39A8"/>
    <w:rsid w:val="00BD77F7"/>
    <w:rsid w:val="00C04032"/>
    <w:rsid w:val="00C07CA2"/>
    <w:rsid w:val="00C37207"/>
    <w:rsid w:val="00C4341D"/>
    <w:rsid w:val="00C47ACA"/>
    <w:rsid w:val="00C5118C"/>
    <w:rsid w:val="00C76AFB"/>
    <w:rsid w:val="00C808D8"/>
    <w:rsid w:val="00CA0F5E"/>
    <w:rsid w:val="00CB0B9A"/>
    <w:rsid w:val="00CC3207"/>
    <w:rsid w:val="00CD3292"/>
    <w:rsid w:val="00CD7949"/>
    <w:rsid w:val="00CD7FF9"/>
    <w:rsid w:val="00CE1AE0"/>
    <w:rsid w:val="00CE1EFA"/>
    <w:rsid w:val="00CF43F1"/>
    <w:rsid w:val="00D000F8"/>
    <w:rsid w:val="00D06FBF"/>
    <w:rsid w:val="00D12EE4"/>
    <w:rsid w:val="00D153F7"/>
    <w:rsid w:val="00D266D7"/>
    <w:rsid w:val="00D36FBC"/>
    <w:rsid w:val="00D45D12"/>
    <w:rsid w:val="00D553F8"/>
    <w:rsid w:val="00D6544A"/>
    <w:rsid w:val="00D72FC9"/>
    <w:rsid w:val="00D82876"/>
    <w:rsid w:val="00D84000"/>
    <w:rsid w:val="00D8619E"/>
    <w:rsid w:val="00D87490"/>
    <w:rsid w:val="00DB48E5"/>
    <w:rsid w:val="00DB5CCF"/>
    <w:rsid w:val="00DC4D98"/>
    <w:rsid w:val="00DF16CE"/>
    <w:rsid w:val="00DF1B77"/>
    <w:rsid w:val="00DF48BC"/>
    <w:rsid w:val="00E0535F"/>
    <w:rsid w:val="00E0643A"/>
    <w:rsid w:val="00E07F25"/>
    <w:rsid w:val="00E1684D"/>
    <w:rsid w:val="00E2399C"/>
    <w:rsid w:val="00E31DE2"/>
    <w:rsid w:val="00E334D4"/>
    <w:rsid w:val="00E47305"/>
    <w:rsid w:val="00E715DF"/>
    <w:rsid w:val="00E731FF"/>
    <w:rsid w:val="00E902A0"/>
    <w:rsid w:val="00E9708F"/>
    <w:rsid w:val="00EA7E0B"/>
    <w:rsid w:val="00EB4F0D"/>
    <w:rsid w:val="00EB666B"/>
    <w:rsid w:val="00EC0523"/>
    <w:rsid w:val="00EC13DC"/>
    <w:rsid w:val="00EE19CE"/>
    <w:rsid w:val="00EE5EDA"/>
    <w:rsid w:val="00EF37B6"/>
    <w:rsid w:val="00F138F2"/>
    <w:rsid w:val="00F20DFA"/>
    <w:rsid w:val="00F213BE"/>
    <w:rsid w:val="00F30004"/>
    <w:rsid w:val="00F30932"/>
    <w:rsid w:val="00F35919"/>
    <w:rsid w:val="00F52AC1"/>
    <w:rsid w:val="00F57001"/>
    <w:rsid w:val="00F600EB"/>
    <w:rsid w:val="00F65420"/>
    <w:rsid w:val="00F724B0"/>
    <w:rsid w:val="00F81F8C"/>
    <w:rsid w:val="00F824D0"/>
    <w:rsid w:val="00F82A88"/>
    <w:rsid w:val="00F9048E"/>
    <w:rsid w:val="00F977C3"/>
    <w:rsid w:val="00FA0041"/>
    <w:rsid w:val="00FA14F3"/>
    <w:rsid w:val="00FA32E1"/>
    <w:rsid w:val="00FC6EED"/>
    <w:rsid w:val="00FD3085"/>
    <w:rsid w:val="00FD586D"/>
    <w:rsid w:val="00FD65B6"/>
    <w:rsid w:val="00FD6E76"/>
    <w:rsid w:val="00FF6B5E"/>
    <w:rsid w:val="00FF73F6"/>
    <w:rsid w:val="0110695A"/>
    <w:rsid w:val="0197CDA7"/>
    <w:rsid w:val="019CC27C"/>
    <w:rsid w:val="01C852A4"/>
    <w:rsid w:val="02542F79"/>
    <w:rsid w:val="02E19BBF"/>
    <w:rsid w:val="041FAC72"/>
    <w:rsid w:val="044A2715"/>
    <w:rsid w:val="0486044E"/>
    <w:rsid w:val="04FF02FA"/>
    <w:rsid w:val="05183EA1"/>
    <w:rsid w:val="05876A30"/>
    <w:rsid w:val="05B05264"/>
    <w:rsid w:val="05CA5347"/>
    <w:rsid w:val="063D19EA"/>
    <w:rsid w:val="06C5D331"/>
    <w:rsid w:val="076BC1D8"/>
    <w:rsid w:val="07C2BA37"/>
    <w:rsid w:val="07D0DBFE"/>
    <w:rsid w:val="0802C9E6"/>
    <w:rsid w:val="0818914B"/>
    <w:rsid w:val="08A5CF1D"/>
    <w:rsid w:val="0954C1FD"/>
    <w:rsid w:val="09CFEC46"/>
    <w:rsid w:val="0A6B2F38"/>
    <w:rsid w:val="0ACE11AC"/>
    <w:rsid w:val="0AF748ED"/>
    <w:rsid w:val="0BA48A2D"/>
    <w:rsid w:val="0C639105"/>
    <w:rsid w:val="0C96410F"/>
    <w:rsid w:val="0CE4829B"/>
    <w:rsid w:val="0CE546CD"/>
    <w:rsid w:val="0D4CBDD3"/>
    <w:rsid w:val="0D9225F5"/>
    <w:rsid w:val="0EB932B6"/>
    <w:rsid w:val="0EE0A888"/>
    <w:rsid w:val="0EE34477"/>
    <w:rsid w:val="0F618F38"/>
    <w:rsid w:val="0F7196DF"/>
    <w:rsid w:val="1010FDAF"/>
    <w:rsid w:val="1050AE37"/>
    <w:rsid w:val="1053B955"/>
    <w:rsid w:val="105E7BAC"/>
    <w:rsid w:val="109A455B"/>
    <w:rsid w:val="109CD3F5"/>
    <w:rsid w:val="10D749F1"/>
    <w:rsid w:val="110A8E4B"/>
    <w:rsid w:val="111D303B"/>
    <w:rsid w:val="11ACCE10"/>
    <w:rsid w:val="12121B74"/>
    <w:rsid w:val="121A00AA"/>
    <w:rsid w:val="123E8771"/>
    <w:rsid w:val="13334107"/>
    <w:rsid w:val="13F4E666"/>
    <w:rsid w:val="14284ED8"/>
    <w:rsid w:val="147EE99A"/>
    <w:rsid w:val="150976B6"/>
    <w:rsid w:val="15324416"/>
    <w:rsid w:val="15438AF1"/>
    <w:rsid w:val="155D731E"/>
    <w:rsid w:val="15B3F7FE"/>
    <w:rsid w:val="160FEB41"/>
    <w:rsid w:val="1627A55E"/>
    <w:rsid w:val="16362454"/>
    <w:rsid w:val="167FCAF3"/>
    <w:rsid w:val="16B4FF6E"/>
    <w:rsid w:val="16BDA144"/>
    <w:rsid w:val="174B1BD3"/>
    <w:rsid w:val="177034B2"/>
    <w:rsid w:val="1816738D"/>
    <w:rsid w:val="184FC4E6"/>
    <w:rsid w:val="18918E25"/>
    <w:rsid w:val="18A7BA33"/>
    <w:rsid w:val="18DB8A6A"/>
    <w:rsid w:val="19C997B4"/>
    <w:rsid w:val="19E9CFE9"/>
    <w:rsid w:val="1A147D82"/>
    <w:rsid w:val="1AAAEA24"/>
    <w:rsid w:val="1ADEC271"/>
    <w:rsid w:val="1B28CD24"/>
    <w:rsid w:val="1B447718"/>
    <w:rsid w:val="1B7F5D28"/>
    <w:rsid w:val="1BAD7C27"/>
    <w:rsid w:val="1C502AB9"/>
    <w:rsid w:val="1C571E47"/>
    <w:rsid w:val="1CEDE34C"/>
    <w:rsid w:val="1D080F3F"/>
    <w:rsid w:val="1D410E53"/>
    <w:rsid w:val="1D8BFE70"/>
    <w:rsid w:val="1E9EDA9F"/>
    <w:rsid w:val="1EB15E2E"/>
    <w:rsid w:val="1F022C46"/>
    <w:rsid w:val="1F070ABB"/>
    <w:rsid w:val="1FC1D995"/>
    <w:rsid w:val="1FC75521"/>
    <w:rsid w:val="1FD369B0"/>
    <w:rsid w:val="208D8F22"/>
    <w:rsid w:val="20A8642D"/>
    <w:rsid w:val="210754DC"/>
    <w:rsid w:val="21E8C41C"/>
    <w:rsid w:val="22D88946"/>
    <w:rsid w:val="2324E097"/>
    <w:rsid w:val="23496F44"/>
    <w:rsid w:val="236EA5A3"/>
    <w:rsid w:val="23A1AAAE"/>
    <w:rsid w:val="23BCBD8A"/>
    <w:rsid w:val="2430F045"/>
    <w:rsid w:val="25839F09"/>
    <w:rsid w:val="25A161DF"/>
    <w:rsid w:val="25C0392E"/>
    <w:rsid w:val="25CBBE95"/>
    <w:rsid w:val="25ED2B50"/>
    <w:rsid w:val="261B30ED"/>
    <w:rsid w:val="264732C8"/>
    <w:rsid w:val="2658E345"/>
    <w:rsid w:val="265A2F50"/>
    <w:rsid w:val="26857B68"/>
    <w:rsid w:val="270CC957"/>
    <w:rsid w:val="2713513B"/>
    <w:rsid w:val="273D3240"/>
    <w:rsid w:val="280DBDCE"/>
    <w:rsid w:val="28501517"/>
    <w:rsid w:val="29D3B2C4"/>
    <w:rsid w:val="2A698D84"/>
    <w:rsid w:val="2A6B0323"/>
    <w:rsid w:val="2B0967DB"/>
    <w:rsid w:val="2B7B2406"/>
    <w:rsid w:val="2BB6EC05"/>
    <w:rsid w:val="2C6FE7A3"/>
    <w:rsid w:val="2DB54AE3"/>
    <w:rsid w:val="2F01A9D2"/>
    <w:rsid w:val="2F47F58F"/>
    <w:rsid w:val="2F7DBAF9"/>
    <w:rsid w:val="3046540A"/>
    <w:rsid w:val="308D097C"/>
    <w:rsid w:val="30C293F8"/>
    <w:rsid w:val="31562584"/>
    <w:rsid w:val="31AF18B8"/>
    <w:rsid w:val="332F1D2C"/>
    <w:rsid w:val="3370024D"/>
    <w:rsid w:val="3386E682"/>
    <w:rsid w:val="33AE0582"/>
    <w:rsid w:val="33BD27B5"/>
    <w:rsid w:val="33F3BBB2"/>
    <w:rsid w:val="34477D70"/>
    <w:rsid w:val="347B7F82"/>
    <w:rsid w:val="34A46727"/>
    <w:rsid w:val="34A79633"/>
    <w:rsid w:val="34C6ECCD"/>
    <w:rsid w:val="3537A841"/>
    <w:rsid w:val="353ADBA8"/>
    <w:rsid w:val="35508A20"/>
    <w:rsid w:val="35D469E9"/>
    <w:rsid w:val="365CDB3F"/>
    <w:rsid w:val="3727F456"/>
    <w:rsid w:val="37F99429"/>
    <w:rsid w:val="3853635F"/>
    <w:rsid w:val="38545243"/>
    <w:rsid w:val="38E03C8F"/>
    <w:rsid w:val="3A5B3AF3"/>
    <w:rsid w:val="3AB740E6"/>
    <w:rsid w:val="3B3B8D8A"/>
    <w:rsid w:val="3B3CB49B"/>
    <w:rsid w:val="3B4C648C"/>
    <w:rsid w:val="3BCFDA85"/>
    <w:rsid w:val="3BE2A8CF"/>
    <w:rsid w:val="3BFB167A"/>
    <w:rsid w:val="3CEE0D6D"/>
    <w:rsid w:val="3D2CAB8D"/>
    <w:rsid w:val="3D337D7D"/>
    <w:rsid w:val="3D465724"/>
    <w:rsid w:val="3DCB9589"/>
    <w:rsid w:val="3DE67D3C"/>
    <w:rsid w:val="3DF1367F"/>
    <w:rsid w:val="3E2F58B6"/>
    <w:rsid w:val="3E5EC904"/>
    <w:rsid w:val="3E79F900"/>
    <w:rsid w:val="3EE304A3"/>
    <w:rsid w:val="3F9E8AD6"/>
    <w:rsid w:val="3FA95FE4"/>
    <w:rsid w:val="3FF930E3"/>
    <w:rsid w:val="4009D3FB"/>
    <w:rsid w:val="40369FEE"/>
    <w:rsid w:val="40F832C5"/>
    <w:rsid w:val="42182A3E"/>
    <w:rsid w:val="435CCBC3"/>
    <w:rsid w:val="43943EC6"/>
    <w:rsid w:val="43AE107A"/>
    <w:rsid w:val="43BE2755"/>
    <w:rsid w:val="4417D0E3"/>
    <w:rsid w:val="4464B9C3"/>
    <w:rsid w:val="4475F653"/>
    <w:rsid w:val="45576144"/>
    <w:rsid w:val="45685958"/>
    <w:rsid w:val="46392BEC"/>
    <w:rsid w:val="46A34AD2"/>
    <w:rsid w:val="4715C41B"/>
    <w:rsid w:val="47B47706"/>
    <w:rsid w:val="483B5A6A"/>
    <w:rsid w:val="488430C6"/>
    <w:rsid w:val="48980501"/>
    <w:rsid w:val="48E59C80"/>
    <w:rsid w:val="48FCAD8D"/>
    <w:rsid w:val="4914970D"/>
    <w:rsid w:val="49329435"/>
    <w:rsid w:val="49EC457D"/>
    <w:rsid w:val="4A79209F"/>
    <w:rsid w:val="4A80F5A0"/>
    <w:rsid w:val="4CA9C216"/>
    <w:rsid w:val="4D1EE1D1"/>
    <w:rsid w:val="4D392835"/>
    <w:rsid w:val="4DFE0107"/>
    <w:rsid w:val="4E11A755"/>
    <w:rsid w:val="4E3F673E"/>
    <w:rsid w:val="4EE9ED04"/>
    <w:rsid w:val="4EF336D2"/>
    <w:rsid w:val="4F1130B9"/>
    <w:rsid w:val="5014AD1A"/>
    <w:rsid w:val="50175AF2"/>
    <w:rsid w:val="507B97F6"/>
    <w:rsid w:val="50B6C642"/>
    <w:rsid w:val="50ECA893"/>
    <w:rsid w:val="51241454"/>
    <w:rsid w:val="512CC418"/>
    <w:rsid w:val="5170B8CE"/>
    <w:rsid w:val="517D3CEA"/>
    <w:rsid w:val="5242ED76"/>
    <w:rsid w:val="52556794"/>
    <w:rsid w:val="53C66FFB"/>
    <w:rsid w:val="54494BE9"/>
    <w:rsid w:val="54B7381C"/>
    <w:rsid w:val="5558E235"/>
    <w:rsid w:val="55628675"/>
    <w:rsid w:val="561DDBCB"/>
    <w:rsid w:val="56321110"/>
    <w:rsid w:val="5666FDBF"/>
    <w:rsid w:val="57605DF5"/>
    <w:rsid w:val="57B2FF8E"/>
    <w:rsid w:val="57BF840F"/>
    <w:rsid w:val="581D9C03"/>
    <w:rsid w:val="59245EE3"/>
    <w:rsid w:val="593525AA"/>
    <w:rsid w:val="596F79BE"/>
    <w:rsid w:val="59A785D8"/>
    <w:rsid w:val="59E4CDBE"/>
    <w:rsid w:val="59EE7130"/>
    <w:rsid w:val="5A4754A3"/>
    <w:rsid w:val="5AD78B7C"/>
    <w:rsid w:val="5B0569FC"/>
    <w:rsid w:val="5B809E1F"/>
    <w:rsid w:val="5BF6216B"/>
    <w:rsid w:val="5C9371BC"/>
    <w:rsid w:val="5D1C6E80"/>
    <w:rsid w:val="5D53B1CA"/>
    <w:rsid w:val="5D6E22A8"/>
    <w:rsid w:val="5D740302"/>
    <w:rsid w:val="5E2B12F6"/>
    <w:rsid w:val="5E5B5B98"/>
    <w:rsid w:val="5EB11526"/>
    <w:rsid w:val="5EB933F1"/>
    <w:rsid w:val="5FB53649"/>
    <w:rsid w:val="5FE310EB"/>
    <w:rsid w:val="5FF83CC0"/>
    <w:rsid w:val="602B6CBC"/>
    <w:rsid w:val="602F6A43"/>
    <w:rsid w:val="60B06460"/>
    <w:rsid w:val="60D7FD90"/>
    <w:rsid w:val="61048EDB"/>
    <w:rsid w:val="6139FB7A"/>
    <w:rsid w:val="618D3430"/>
    <w:rsid w:val="619CF1BF"/>
    <w:rsid w:val="620EC319"/>
    <w:rsid w:val="6274FF87"/>
    <w:rsid w:val="629EA94F"/>
    <w:rsid w:val="638DA38C"/>
    <w:rsid w:val="63F47F39"/>
    <w:rsid w:val="64299CD3"/>
    <w:rsid w:val="647B0F93"/>
    <w:rsid w:val="659C9E9E"/>
    <w:rsid w:val="65A7A81F"/>
    <w:rsid w:val="65D97C9B"/>
    <w:rsid w:val="65F44C47"/>
    <w:rsid w:val="662D1D78"/>
    <w:rsid w:val="664871D1"/>
    <w:rsid w:val="666BF4A5"/>
    <w:rsid w:val="66DFAD38"/>
    <w:rsid w:val="66FC7457"/>
    <w:rsid w:val="66FD5E97"/>
    <w:rsid w:val="6724EED6"/>
    <w:rsid w:val="677E75D7"/>
    <w:rsid w:val="67C8361A"/>
    <w:rsid w:val="67CC3E9F"/>
    <w:rsid w:val="67F4D555"/>
    <w:rsid w:val="68401317"/>
    <w:rsid w:val="684E4C25"/>
    <w:rsid w:val="68636487"/>
    <w:rsid w:val="68C8E9D0"/>
    <w:rsid w:val="695FD14D"/>
    <w:rsid w:val="697E3B41"/>
    <w:rsid w:val="69A03C68"/>
    <w:rsid w:val="69C2D6DC"/>
    <w:rsid w:val="69F09B1D"/>
    <w:rsid w:val="69FCB5D3"/>
    <w:rsid w:val="6A0C0115"/>
    <w:rsid w:val="6A1A9719"/>
    <w:rsid w:val="6A89B432"/>
    <w:rsid w:val="6B7A9D4B"/>
    <w:rsid w:val="6B9B7457"/>
    <w:rsid w:val="6C286D96"/>
    <w:rsid w:val="6C8DA710"/>
    <w:rsid w:val="6C9CD157"/>
    <w:rsid w:val="6CC62A9B"/>
    <w:rsid w:val="6CD810C8"/>
    <w:rsid w:val="6D720C2E"/>
    <w:rsid w:val="6D78ED51"/>
    <w:rsid w:val="6D7A96C3"/>
    <w:rsid w:val="6E46F509"/>
    <w:rsid w:val="6E5CEA22"/>
    <w:rsid w:val="6EABE764"/>
    <w:rsid w:val="6F228932"/>
    <w:rsid w:val="6F5F3C91"/>
    <w:rsid w:val="7097F270"/>
    <w:rsid w:val="71390B92"/>
    <w:rsid w:val="715B19B6"/>
    <w:rsid w:val="71BC7BA9"/>
    <w:rsid w:val="721B3939"/>
    <w:rsid w:val="72372A80"/>
    <w:rsid w:val="729F16B8"/>
    <w:rsid w:val="7334DB8B"/>
    <w:rsid w:val="735DA3F8"/>
    <w:rsid w:val="736B2104"/>
    <w:rsid w:val="74FCD91E"/>
    <w:rsid w:val="753664AA"/>
    <w:rsid w:val="753E67FA"/>
    <w:rsid w:val="7567DCC5"/>
    <w:rsid w:val="75869B50"/>
    <w:rsid w:val="7595037D"/>
    <w:rsid w:val="76206BBB"/>
    <w:rsid w:val="76D2AE67"/>
    <w:rsid w:val="777F8342"/>
    <w:rsid w:val="78348CCA"/>
    <w:rsid w:val="78D2C543"/>
    <w:rsid w:val="792ACED4"/>
    <w:rsid w:val="7AFD9D3D"/>
    <w:rsid w:val="7B6A6B82"/>
    <w:rsid w:val="7B6F471C"/>
    <w:rsid w:val="7BA05778"/>
    <w:rsid w:val="7BF2FB8F"/>
    <w:rsid w:val="7BFC25A5"/>
    <w:rsid w:val="7C6A7465"/>
    <w:rsid w:val="7C78AF0B"/>
    <w:rsid w:val="7CC0E036"/>
    <w:rsid w:val="7CD8940B"/>
    <w:rsid w:val="7D072D4A"/>
    <w:rsid w:val="7D2D4D7A"/>
    <w:rsid w:val="7D7F63E5"/>
    <w:rsid w:val="7D9CEAF9"/>
    <w:rsid w:val="7E35AB51"/>
    <w:rsid w:val="7E64347B"/>
    <w:rsid w:val="7E698CE1"/>
    <w:rsid w:val="7E87C26C"/>
    <w:rsid w:val="7EABEB08"/>
    <w:rsid w:val="7EEFB65F"/>
    <w:rsid w:val="7F4B6A4C"/>
    <w:rsid w:val="7FB9CF2D"/>
    <w:rsid w:val="7FC708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676086B-BCD2-4908-BE84-0332AF96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outlineLvl w:val="1"/>
    </w:pPr>
    <w:rPr>
      <w:rFonts w:ascii="Times New Roman" w:eastAsiaTheme="majorEastAsia" w:hAnsi="Times New Roman" w:cs="Times New Roman"/>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Segoe UI" w:hAnsi="Segoe UI" w:cs="Segoe UI"/>
      <w:sz w:val="18"/>
      <w:szCs w:val="18"/>
    </w:rPr>
  </w:style>
  <w:style w:type="paragraph" w:styleId="Corpsdetexte">
    <w:name w:val="Body Text"/>
    <w:basedOn w:val="Normal"/>
    <w:link w:val="CorpsdetexteCar"/>
    <w:qFormat/>
    <w:rPr>
      <w:rFonts w:ascii="Arial" w:eastAsia="Times New Roman" w:hAnsi="Arial" w:cs="Times New Roman"/>
      <w:i/>
      <w:sz w:val="20"/>
      <w:szCs w:val="20"/>
    </w:rPr>
  </w:style>
  <w:style w:type="character" w:styleId="Marquedecommentaire">
    <w:name w:val="annotation reference"/>
    <w:basedOn w:val="Policepardfaut"/>
    <w:uiPriority w:val="99"/>
    <w:semiHidden/>
    <w:unhideWhenUsed/>
    <w:qFormat/>
    <w:rPr>
      <w:sz w:val="16"/>
      <w:szCs w:val="16"/>
    </w:rPr>
  </w:style>
  <w:style w:type="paragraph" w:styleId="Commentaire">
    <w:name w:val="annotation text"/>
    <w:basedOn w:val="Normal"/>
    <w:link w:val="CommentaireCar"/>
    <w:uiPriority w:val="99"/>
    <w:unhideWhenUsed/>
    <w:qFormat/>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Pieddepage">
    <w:name w:val="footer"/>
    <w:basedOn w:val="Normal"/>
    <w:link w:val="PieddepageCar"/>
    <w:uiPriority w:val="99"/>
    <w:unhideWhenUsed/>
    <w:pPr>
      <w:tabs>
        <w:tab w:val="center" w:pos="4680"/>
        <w:tab w:val="right" w:pos="9360"/>
      </w:tabs>
    </w:pPr>
  </w:style>
  <w:style w:type="character" w:styleId="Appelnotedebasdep">
    <w:name w:val="footnote reference"/>
    <w:basedOn w:val="Policepardfaut"/>
    <w:uiPriority w:val="99"/>
    <w:semiHidden/>
    <w:unhideWhenUsed/>
    <w:rPr>
      <w:vertAlign w:val="superscript"/>
    </w:rPr>
  </w:style>
  <w:style w:type="paragraph" w:styleId="Notedebasdepage">
    <w:name w:val="footnote text"/>
    <w:basedOn w:val="Normal"/>
    <w:link w:val="NotedebasdepageCar"/>
    <w:uiPriority w:val="99"/>
    <w:semiHidden/>
    <w:unhideWhenUsed/>
    <w:rPr>
      <w:sz w:val="20"/>
      <w:szCs w:val="20"/>
    </w:rPr>
  </w:style>
  <w:style w:type="paragraph" w:styleId="En-tte">
    <w:name w:val="header"/>
    <w:basedOn w:val="Normal"/>
    <w:link w:val="En-tteCar"/>
    <w:uiPriority w:val="99"/>
    <w:unhideWhenUsed/>
    <w:pPr>
      <w:tabs>
        <w:tab w:val="center" w:pos="4680"/>
        <w:tab w:val="right" w:pos="9360"/>
      </w:tabs>
    </w:p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styleId="Lienhypertexte">
    <w:name w:val="Hyperlink"/>
    <w:basedOn w:val="Policepardfaut"/>
    <w:unhideWhenUsed/>
    <w:qFormat/>
    <w:rPr>
      <w:color w:val="0563C1" w:themeColor="hyperlink"/>
      <w:u w:val="single"/>
    </w:rPr>
  </w:style>
  <w:style w:type="paragraph" w:styleId="Sous-titre">
    <w:name w:val="Subtitle"/>
    <w:basedOn w:val="Normal"/>
    <w:next w:val="Normal"/>
    <w:link w:val="Sous-titreCar"/>
    <w:uiPriority w:val="11"/>
    <w:qFormat/>
    <w:pPr>
      <w:spacing w:after="160"/>
    </w:pPr>
    <w:rPr>
      <w:rFonts w:eastAsiaTheme="minorEastAsia"/>
      <w:color w:val="595959" w:themeColor="text1" w:themeTint="A6"/>
      <w:spacing w:val="15"/>
      <w:sz w:val="22"/>
      <w:szCs w:val="22"/>
    </w:rPr>
  </w:style>
  <w:style w:type="table" w:styleId="Grilledutableau">
    <w:name w:val="Table Grid"/>
    <w:basedOn w:val="Tableau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qFormat/>
    <w:pPr>
      <w:tabs>
        <w:tab w:val="right" w:leader="dot" w:pos="9350"/>
      </w:tabs>
      <w:spacing w:after="100"/>
    </w:pPr>
    <w:rPr>
      <w:rFonts w:ascii="Arial" w:hAnsi="Arial" w:cs="Arial"/>
      <w:sz w:val="20"/>
      <w:szCs w:val="20"/>
    </w:rPr>
  </w:style>
  <w:style w:type="paragraph" w:styleId="TM2">
    <w:name w:val="toc 2"/>
    <w:basedOn w:val="Normal"/>
    <w:next w:val="Normal"/>
    <w:autoRedefine/>
    <w:uiPriority w:val="39"/>
    <w:unhideWhenUsed/>
    <w:qFormat/>
    <w:pPr>
      <w:spacing w:after="100"/>
      <w:ind w:left="240"/>
    </w:pPr>
  </w:style>
  <w:style w:type="paragraph" w:styleId="TM3">
    <w:name w:val="toc 3"/>
    <w:basedOn w:val="Normal"/>
    <w:next w:val="Normal"/>
    <w:autoRedefine/>
    <w:uiPriority w:val="39"/>
    <w:unhideWhenUsed/>
    <w:pPr>
      <w:spacing w:after="100" w:line="259" w:lineRule="auto"/>
      <w:ind w:left="440"/>
    </w:pPr>
    <w:rPr>
      <w:rFonts w:eastAsiaTheme="minorEastAsia"/>
      <w:sz w:val="22"/>
      <w:szCs w:val="22"/>
    </w:rPr>
  </w:style>
  <w:style w:type="paragraph" w:styleId="TM4">
    <w:name w:val="toc 4"/>
    <w:basedOn w:val="Normal"/>
    <w:next w:val="Normal"/>
    <w:autoRedefine/>
    <w:uiPriority w:val="39"/>
    <w:unhideWhenUsed/>
    <w:pPr>
      <w:spacing w:after="100" w:line="259" w:lineRule="auto"/>
      <w:ind w:left="660"/>
    </w:pPr>
    <w:rPr>
      <w:rFonts w:eastAsiaTheme="minorEastAsia"/>
      <w:sz w:val="22"/>
      <w:szCs w:val="22"/>
    </w:rPr>
  </w:style>
  <w:style w:type="paragraph" w:styleId="TM5">
    <w:name w:val="toc 5"/>
    <w:basedOn w:val="Normal"/>
    <w:next w:val="Normal"/>
    <w:autoRedefine/>
    <w:uiPriority w:val="39"/>
    <w:unhideWhenUsed/>
    <w:pPr>
      <w:spacing w:after="100" w:line="259" w:lineRule="auto"/>
      <w:ind w:left="880"/>
    </w:pPr>
    <w:rPr>
      <w:rFonts w:eastAsiaTheme="minorEastAsia"/>
      <w:sz w:val="22"/>
      <w:szCs w:val="22"/>
    </w:rPr>
  </w:style>
  <w:style w:type="paragraph" w:styleId="TM6">
    <w:name w:val="toc 6"/>
    <w:basedOn w:val="Normal"/>
    <w:next w:val="Normal"/>
    <w:autoRedefine/>
    <w:uiPriority w:val="39"/>
    <w:unhideWhenUsed/>
    <w:pPr>
      <w:spacing w:after="100" w:line="259" w:lineRule="auto"/>
      <w:ind w:left="1100"/>
    </w:pPr>
    <w:rPr>
      <w:rFonts w:eastAsiaTheme="minorEastAsia"/>
      <w:sz w:val="22"/>
      <w:szCs w:val="22"/>
    </w:rPr>
  </w:style>
  <w:style w:type="paragraph" w:styleId="TM7">
    <w:name w:val="toc 7"/>
    <w:basedOn w:val="Normal"/>
    <w:next w:val="Normal"/>
    <w:autoRedefine/>
    <w:uiPriority w:val="39"/>
    <w:unhideWhenUsed/>
    <w:pPr>
      <w:spacing w:after="100" w:line="259" w:lineRule="auto"/>
      <w:ind w:left="1320"/>
    </w:pPr>
    <w:rPr>
      <w:rFonts w:eastAsiaTheme="minorEastAsia"/>
      <w:sz w:val="22"/>
      <w:szCs w:val="22"/>
    </w:rPr>
  </w:style>
  <w:style w:type="paragraph" w:styleId="TM8">
    <w:name w:val="toc 8"/>
    <w:basedOn w:val="Normal"/>
    <w:next w:val="Normal"/>
    <w:autoRedefine/>
    <w:uiPriority w:val="39"/>
    <w:unhideWhenUsed/>
    <w:pPr>
      <w:spacing w:after="100" w:line="259" w:lineRule="auto"/>
      <w:ind w:left="1540"/>
    </w:pPr>
    <w:rPr>
      <w:rFonts w:eastAsiaTheme="minorEastAsia"/>
      <w:sz w:val="22"/>
      <w:szCs w:val="22"/>
    </w:rPr>
  </w:style>
  <w:style w:type="paragraph" w:styleId="TM9">
    <w:name w:val="toc 9"/>
    <w:basedOn w:val="Normal"/>
    <w:next w:val="Normal"/>
    <w:autoRedefine/>
    <w:uiPriority w:val="39"/>
    <w:unhideWhenUsed/>
    <w:pPr>
      <w:spacing w:after="100" w:line="259" w:lineRule="auto"/>
      <w:ind w:left="1760"/>
    </w:pPr>
    <w:rPr>
      <w:rFonts w:eastAsiaTheme="minorEastAsia"/>
      <w:sz w:val="22"/>
      <w:szCs w:val="22"/>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Pr>
      <w:rFonts w:ascii="Times New Roman" w:eastAsiaTheme="majorEastAsia" w:hAnsi="Times New Roman" w:cs="Times New Roman"/>
      <w:color w:val="2F5496" w:themeColor="accent1" w:themeShade="BF"/>
      <w:sz w:val="26"/>
      <w:szCs w:val="26"/>
    </w:rPr>
  </w:style>
  <w:style w:type="paragraph" w:styleId="Paragraphedeliste">
    <w:name w:val="List Paragraph"/>
    <w:basedOn w:val="Normal"/>
    <w:link w:val="ParagraphedelisteCar"/>
    <w:uiPriority w:val="34"/>
    <w:qFormat/>
    <w:pPr>
      <w:spacing w:after="200" w:line="276" w:lineRule="auto"/>
      <w:ind w:left="720"/>
      <w:contextualSpacing/>
    </w:pPr>
    <w:rPr>
      <w:rFonts w:ascii="Cambria" w:eastAsia="Cambria" w:hAnsi="Cambria" w:cs="Arial"/>
      <w:sz w:val="22"/>
      <w:szCs w:val="22"/>
    </w:rPr>
  </w:style>
  <w:style w:type="character" w:customStyle="1" w:styleId="ParagraphedelisteCar">
    <w:name w:val="Paragraphe de liste Car"/>
    <w:link w:val="Paragraphedeliste"/>
    <w:uiPriority w:val="34"/>
    <w:qFormat/>
    <w:locked/>
    <w:rPr>
      <w:rFonts w:ascii="Cambria" w:eastAsia="Cambria" w:hAnsi="Cambria" w:cs="Arial"/>
    </w:rPr>
  </w:style>
  <w:style w:type="character" w:customStyle="1" w:styleId="PieddepageCar">
    <w:name w:val="Pied de page Car"/>
    <w:basedOn w:val="Policepardfaut"/>
    <w:link w:val="Pieddepage"/>
    <w:uiPriority w:val="99"/>
    <w:qFormat/>
    <w:rPr>
      <w:sz w:val="24"/>
      <w:szCs w:val="24"/>
    </w:rPr>
  </w:style>
  <w:style w:type="character" w:customStyle="1" w:styleId="Sous-titreCar">
    <w:name w:val="Sous-titre Car"/>
    <w:basedOn w:val="Policepardfaut"/>
    <w:link w:val="Sous-titre"/>
    <w:uiPriority w:val="11"/>
    <w:rPr>
      <w:rFonts w:eastAsiaTheme="minorEastAsia"/>
      <w:color w:val="595959" w:themeColor="text1" w:themeTint="A6"/>
      <w:spacing w:val="15"/>
    </w:rPr>
  </w:style>
  <w:style w:type="paragraph" w:customStyle="1" w:styleId="En-ttedetabledesmatires1">
    <w:name w:val="En-tête de table des matières1"/>
    <w:basedOn w:val="Titre1"/>
    <w:next w:val="Normal"/>
    <w:uiPriority w:val="39"/>
    <w:unhideWhenUsed/>
    <w:qFormat/>
    <w:pPr>
      <w:spacing w:line="259" w:lineRule="auto"/>
      <w:outlineLvl w:val="9"/>
    </w:pPr>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BodyTextChar">
    <w:name w:val="Body Text Char"/>
    <w:basedOn w:val="Policepardfaut"/>
    <w:uiPriority w:val="99"/>
    <w:semiHidden/>
    <w:qFormat/>
    <w:rPr>
      <w:sz w:val="24"/>
      <w:szCs w:val="24"/>
    </w:rPr>
  </w:style>
  <w:style w:type="character" w:customStyle="1" w:styleId="CorpsdetexteCar">
    <w:name w:val="Corps de texte Car"/>
    <w:basedOn w:val="Policepardfaut"/>
    <w:link w:val="Corpsdetexte"/>
    <w:qFormat/>
    <w:rPr>
      <w:rFonts w:ascii="Arial" w:eastAsia="Times New Roman" w:hAnsi="Arial" w:cs="Times New Roman"/>
      <w:i/>
      <w:sz w:val="20"/>
      <w:szCs w:val="20"/>
    </w:r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UnresolvedMention1">
    <w:name w:val="Unresolved Mention1"/>
    <w:basedOn w:val="Policepardfaut"/>
    <w:uiPriority w:val="99"/>
    <w:semiHidden/>
    <w:unhideWhenUsed/>
    <w:rPr>
      <w:color w:val="808080"/>
      <w:shd w:val="clear" w:color="auto" w:fill="E6E6E6"/>
    </w:rPr>
  </w:style>
  <w:style w:type="character" w:customStyle="1" w:styleId="En-tteCar">
    <w:name w:val="En-tête Car"/>
    <w:basedOn w:val="Policepardfaut"/>
    <w:link w:val="En-tte"/>
    <w:uiPriority w:val="99"/>
    <w:rPr>
      <w:sz w:val="24"/>
      <w:szCs w:val="24"/>
    </w:rPr>
  </w:style>
  <w:style w:type="character" w:customStyle="1" w:styleId="PrformatHTMLCar">
    <w:name w:val="Préformaté HTML Car"/>
    <w:basedOn w:val="Policepardfaut"/>
    <w:link w:val="PrformatHTML"/>
    <w:uiPriority w:val="99"/>
    <w:rPr>
      <w:rFonts w:ascii="Courier New" w:eastAsia="Times New Roman" w:hAnsi="Courier New" w:cs="Courier New"/>
      <w:sz w:val="20"/>
      <w:szCs w:val="20"/>
    </w:rPr>
  </w:style>
  <w:style w:type="character" w:customStyle="1" w:styleId="fontstyle01">
    <w:name w:val="fontstyle01"/>
    <w:basedOn w:val="Policepardfaut"/>
    <w:rPr>
      <w:rFonts w:ascii="TimesNewRomanPS-ItalicMT" w:hAnsi="TimesNewRomanPS-ItalicMT" w:hint="default"/>
      <w:i/>
      <w:iCs/>
      <w:color w:val="000000"/>
      <w:sz w:val="22"/>
      <w:szCs w:val="22"/>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normaltextrun">
    <w:name w:val="normaltextrun"/>
    <w:basedOn w:val="Policepardfaut"/>
  </w:style>
  <w:style w:type="character" w:customStyle="1" w:styleId="spellingerror">
    <w:name w:val="spellingerror"/>
    <w:basedOn w:val="Policepardfaut"/>
  </w:style>
  <w:style w:type="character" w:customStyle="1" w:styleId="eop">
    <w:name w:val="eop"/>
    <w:basedOn w:val="Policepardfaut"/>
    <w:qFormat/>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rPr>
  </w:style>
  <w:style w:type="character" w:customStyle="1" w:styleId="tabchar">
    <w:name w:val="tabchar"/>
    <w:basedOn w:val="Policepardfaut"/>
  </w:style>
  <w:style w:type="character" w:customStyle="1" w:styleId="Mention">
    <w:name w:val="Mention"/>
    <w:basedOn w:val="Policepardfaut"/>
    <w:uiPriority w:val="99"/>
    <w:unhideWhenUsed/>
    <w:rPr>
      <w:color w:val="2B579A"/>
      <w:shd w:val="clear" w:color="auto" w:fill="E6E6E6"/>
    </w:rPr>
  </w:style>
  <w:style w:type="paragraph" w:customStyle="1" w:styleId="Rvision1">
    <w:name w:val="Révision1"/>
    <w:hidden/>
    <w:uiPriority w:val="99"/>
    <w:semiHidden/>
    <w:rPr>
      <w:sz w:val="24"/>
      <w:szCs w:val="24"/>
      <w:lang w:val="en-US" w:eastAsia="en-US"/>
    </w:rPr>
  </w:style>
  <w:style w:type="character" w:customStyle="1" w:styleId="NotedebasdepageCar">
    <w:name w:val="Note de bas de page Car"/>
    <w:basedOn w:val="Policepardfaut"/>
    <w:link w:val="Notedebasdepage"/>
    <w:uiPriority w:val="99"/>
    <w:semiHidden/>
    <w:rPr>
      <w:sz w:val="20"/>
      <w:szCs w:val="20"/>
    </w:rPr>
  </w:style>
  <w:style w:type="character" w:customStyle="1" w:styleId="UnresolvedMention">
    <w:name w:val="Unresolved Mention"/>
    <w:basedOn w:val="Policepardfaut"/>
    <w:uiPriority w:val="99"/>
    <w:semiHidden/>
    <w:unhideWhenUsed/>
    <w:rPr>
      <w:color w:val="605E5C"/>
      <w:shd w:val="clear" w:color="auto" w:fill="E1DFDD"/>
    </w:rPr>
  </w:style>
  <w:style w:type="paragraph" w:styleId="Sansinterligne">
    <w:name w:val="No Spacing"/>
    <w:uiPriority w:val="1"/>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mauritania@counterpart.org" TargetMode="External"/><Relationship Id="rId17" Type="http://schemas.openxmlformats.org/officeDocument/2006/relationships/hyperlink" Target="mailto:privacy@counterpart.org" TargetMode="External"/><Relationship Id="rId2" Type="http://schemas.openxmlformats.org/officeDocument/2006/relationships/customXml" Target="../customXml/item2.xml"/><Relationship Id="rId16" Type="http://schemas.openxmlformats.org/officeDocument/2006/relationships/hyperlink" Target="https://www.counterpart.org/term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mauritania@counterpar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sc/committees/1267/aq_sanctions_li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1E0B9F1F7304792DAD3381A2DA38D" ma:contentTypeVersion="17" ma:contentTypeDescription="Create a new document." ma:contentTypeScope="" ma:versionID="5875a3eb12813ba3945d00e0b25a42ac">
  <xsd:schema xmlns:xsd="http://www.w3.org/2001/XMLSchema" xmlns:xs="http://www.w3.org/2001/XMLSchema" xmlns:p="http://schemas.microsoft.com/office/2006/metadata/properties" xmlns:ns2="a8c9d545-618e-4d1b-b594-27c940ddc528" xmlns:ns3="1bc46572-9eb0-4d3d-aca7-d22821b3d196" targetNamespace="http://schemas.microsoft.com/office/2006/metadata/properties" ma:root="true" ma:fieldsID="700773d63c854fab84e1415e2e0710c3" ns2:_="" ns3:_="">
    <xsd:import namespace="a8c9d545-618e-4d1b-b594-27c940ddc528"/>
    <xsd:import namespace="1bc46572-9eb0-4d3d-aca7-d22821b3d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9d545-618e-4d1b-b594-27c940ddc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46572-9eb0-4d3d-aca7-d22821b3d1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3e8aeb-6aea-4758-9a55-dbb799131e9b}" ma:internalName="TaxCatchAll" ma:showField="CatchAllData" ma:web="1bc46572-9eb0-4d3d-aca7-d22821b3d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c46572-9eb0-4d3d-aca7-d22821b3d196" xsi:nil="true"/>
    <lcf76f155ced4ddcb4097134ff3c332f xmlns="a8c9d545-618e-4d1b-b594-27c940ddc528">
      <Terms xmlns="http://schemas.microsoft.com/office/infopath/2007/PartnerControls"/>
    </lcf76f155ced4ddcb4097134ff3c332f>
    <SharedWithUsers xmlns="1bc46572-9eb0-4d3d-aca7-d22821b3d196">
      <UserInfo>
        <DisplayName>Christian Arandel</DisplayName>
        <AccountId>41</AccountId>
        <AccountType/>
      </UserInfo>
      <UserInfo>
        <DisplayName>Yeniza Ibrahimo</DisplayName>
        <AccountId>40</AccountId>
        <AccountType/>
      </UserInfo>
      <UserInfo>
        <DisplayName>Zachary Walsh</DisplayName>
        <AccountId>265</AccountId>
        <AccountType/>
      </UserInfo>
      <UserInfo>
        <DisplayName>Alliou Traore</DisplayName>
        <AccountId>68</AccountId>
        <AccountType/>
      </UserInfo>
      <UserInfo>
        <DisplayName>Fatmata Kamara-Mansaray</DisplayName>
        <AccountId>215</AccountId>
        <AccountType/>
      </UserInfo>
      <UserInfo>
        <DisplayName>Aicha Malloum</DisplayName>
        <AccountId>110</AccountId>
        <AccountType/>
      </UserInfo>
      <UserInfo>
        <DisplayName>Adama Ngam</DisplayName>
        <AccountId>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D222-DC7D-4431-9734-5C0C79D9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9d545-618e-4d1b-b594-27c940ddc528"/>
    <ds:schemaRef ds:uri="1bc46572-9eb0-4d3d-aca7-d22821b3d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AAD70-DEF9-4915-A8F0-01D2E8B1210B}">
  <ds:schemaRefs>
    <ds:schemaRef ds:uri="http://schemas.microsoft.com/office/2006/metadata/properties"/>
    <ds:schemaRef ds:uri="http://schemas.microsoft.com/office/infopath/2007/PartnerControls"/>
    <ds:schemaRef ds:uri="1bc46572-9eb0-4d3d-aca7-d22821b3d196"/>
    <ds:schemaRef ds:uri="a8c9d545-618e-4d1b-b594-27c940ddc528"/>
  </ds:schemaRefs>
</ds:datastoreItem>
</file>

<file path=customXml/itemProps3.xml><?xml version="1.0" encoding="utf-8"?>
<ds:datastoreItem xmlns:ds="http://schemas.openxmlformats.org/officeDocument/2006/customXml" ds:itemID="{CAC0F1C3-7235-4C5E-9195-E01BB3643552}">
  <ds:schemaRefs>
    <ds:schemaRef ds:uri="http://schemas.microsoft.com/sharepoint/v3/contenttype/forms"/>
  </ds:schemaRefs>
</ds:datastoreItem>
</file>

<file path=customXml/itemProps4.xml><?xml version="1.0" encoding="utf-8"?>
<ds:datastoreItem xmlns:ds="http://schemas.openxmlformats.org/officeDocument/2006/customXml" ds:itemID="{35B9358A-171B-4E16-ADB9-F1F0F29D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4633</Words>
  <Characters>25483</Characters>
  <Application>Microsoft Office Word</Application>
  <DocSecurity>0</DocSecurity>
  <Lines>212</Lines>
  <Paragraphs>60</Paragraphs>
  <ScaleCrop>false</ScaleCrop>
  <Company/>
  <LinksUpToDate>false</LinksUpToDate>
  <CharactersWithSpaces>30056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Muntasir Siddig</dc:creator>
  <cp:lastModifiedBy>lenovo</cp:lastModifiedBy>
  <cp:revision>2</cp:revision>
  <cp:lastPrinted>2023-03-08T17:01:00Z</cp:lastPrinted>
  <dcterms:created xsi:type="dcterms:W3CDTF">2024-10-03T16:31:00Z</dcterms:created>
  <dcterms:modified xsi:type="dcterms:W3CDTF">2024-10-03T16:31:00Z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0x010100F6C1E0B9F1F7304792DAD3381A2DA38D</vt:lpwstr>
  </property>
  <property fmtid="{D5CDD505-2E9C-101B-9397-08002B2CF9AE}" pid="3" name="Program">
    <vt:lpwstr>2;#1090|af24c37f-4725-4d3a-a756-0cca0e0f8f01</vt:lpwstr>
  </property>
  <property fmtid="{D5CDD505-2E9C-101B-9397-08002B2CF9AE}" pid="4" name="Country">
    <vt:lpwstr>3;#Mauritania|25681cff-2aed-41c6-8195-bd2442240b07</vt:lpwstr>
  </property>
  <property fmtid="{D5CDD505-2E9C-101B-9397-08002B2CF9AE}" pid="5" name="MediaServiceImageTags">
    <vt:lpwstr/>
  </property>
  <property fmtid="{D5CDD505-2E9C-101B-9397-08002B2CF9AE}" pid="6" name="GrammarlyDocumentId">
    <vt:lpwstr>f18c744ec1996cebb8589ba211a17f486a03a185a7af7a15d7ae168318c65484</vt:lpwstr>
  </property>
  <property fmtid="{D5CDD505-2E9C-101B-9397-08002B2CF9AE}" pid="7" name="KSOProductBuildVer">
    <vt:lpwstr>1033-12.2.0.17562</vt:lpwstr>
  </property>
  <property fmtid="{D5CDD505-2E9C-101B-9397-08002B2CF9AE}" pid="8" name="ICV">
    <vt:lpwstr>9DFEAD02FBDC44569229F149A1CC6C98_13</vt:lpwstr>
  </property>
</Properties>
</file>