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4A1A" w14:textId="6907BFB2" w:rsidR="00ED1C80" w:rsidRPr="00ED1C80" w:rsidRDefault="00ED1C80" w:rsidP="00ED1C80">
      <w:pPr>
        <w:spacing w:after="0" w:line="240" w:lineRule="auto"/>
        <w:contextualSpacing/>
        <w:rPr>
          <w:rFonts w:eastAsia="Times New Roman" w:cs="Arial"/>
          <w:b/>
          <w:color w:val="000000"/>
          <w:sz w:val="24"/>
          <w:szCs w:val="24"/>
        </w:rPr>
      </w:pPr>
      <w:r>
        <w:rPr>
          <w:b/>
          <w:noProof/>
          <w:color w:val="000000"/>
          <w:sz w:val="28"/>
          <w:szCs w:val="28"/>
          <w:u w:val="single"/>
          <w:lang w:val="en-GB" w:eastAsia="en-GB"/>
        </w:rPr>
        <w:drawing>
          <wp:anchor distT="0" distB="0" distL="114300" distR="114300" simplePos="0" relativeHeight="251658240" behindDoc="0" locked="0" layoutInCell="1" allowOverlap="1" wp14:anchorId="3EFD4530" wp14:editId="58EB7DB8">
            <wp:simplePos x="0" y="0"/>
            <wp:positionH relativeFrom="margin">
              <wp:align>left</wp:align>
            </wp:positionH>
            <wp:positionV relativeFrom="paragraph">
              <wp:posOffset>-770890</wp:posOffset>
            </wp:positionV>
            <wp:extent cx="1234025" cy="3429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025" cy="342900"/>
                    </a:xfrm>
                    <a:prstGeom prst="rect">
                      <a:avLst/>
                    </a:prstGeom>
                  </pic:spPr>
                </pic:pic>
              </a:graphicData>
            </a:graphic>
            <wp14:sizeRelH relativeFrom="margin">
              <wp14:pctWidth>0</wp14:pctWidth>
            </wp14:sizeRelH>
            <wp14:sizeRelV relativeFrom="margin">
              <wp14:pctHeight>0</wp14:pctHeight>
            </wp14:sizeRelV>
          </wp:anchor>
        </w:drawing>
      </w:r>
      <w:r>
        <w:rPr>
          <w:b/>
          <w:color w:val="000000"/>
          <w:sz w:val="24"/>
          <w:szCs w:val="24"/>
        </w:rPr>
        <w:t xml:space="preserve">  </w:t>
      </w:r>
    </w:p>
    <w:p w14:paraId="093ED919" w14:textId="2560AB76" w:rsidR="005762FE" w:rsidRDefault="00DF6A01" w:rsidP="00E40B08">
      <w:pPr>
        <w:spacing w:after="0" w:line="240" w:lineRule="auto"/>
        <w:contextualSpacing/>
        <w:rPr>
          <w:rFonts w:eastAsia="Times New Roman" w:cs="Arial"/>
          <w:b/>
          <w:bCs/>
          <w:color w:val="000000"/>
          <w:sz w:val="28"/>
          <w:szCs w:val="28"/>
          <w:u w:val="single"/>
        </w:rPr>
      </w:pPr>
      <w:r>
        <w:rPr>
          <w:b/>
          <w:color w:val="000000"/>
          <w:sz w:val="28"/>
          <w:szCs w:val="28"/>
          <w:u w:val="single"/>
        </w:rPr>
        <w:t>PARTIE 1 - Documents et certifications</w:t>
      </w:r>
    </w:p>
    <w:p w14:paraId="09F51E47" w14:textId="77777777" w:rsidR="00585A53" w:rsidRPr="00643648" w:rsidRDefault="00585A53" w:rsidP="00E40B08">
      <w:pPr>
        <w:spacing w:after="0" w:line="240" w:lineRule="auto"/>
        <w:contextualSpacing/>
        <w:rPr>
          <w:rFonts w:eastAsia="Times New Roman" w:cs="Arial"/>
          <w:b/>
          <w:bCs/>
          <w:color w:val="000000"/>
          <w:sz w:val="16"/>
          <w:szCs w:val="16"/>
          <w:u w:val="single"/>
          <w:lang w:val="fr-ML" w:eastAsia="en-GB"/>
        </w:rPr>
      </w:pPr>
    </w:p>
    <w:p w14:paraId="47BF394A" w14:textId="474085BD" w:rsidR="00614C05" w:rsidRPr="00687A69" w:rsidRDefault="00ED1C80" w:rsidP="00385EE9">
      <w:pPr>
        <w:pBdr>
          <w:top w:val="single" w:sz="8" w:space="1" w:color="auto"/>
          <w:left w:val="single" w:sz="8" w:space="4" w:color="auto"/>
          <w:bottom w:val="single" w:sz="8" w:space="0" w:color="auto"/>
          <w:right w:val="single" w:sz="8" w:space="4" w:color="auto"/>
          <w:between w:val="single" w:sz="8" w:space="1" w:color="auto"/>
          <w:bar w:val="single" w:sz="8" w:color="auto"/>
        </w:pBdr>
        <w:shd w:val="clear" w:color="auto" w:fill="FDF1E9"/>
        <w:spacing w:after="0" w:line="240" w:lineRule="auto"/>
        <w:contextualSpacing/>
        <w:jc w:val="both"/>
        <w:rPr>
          <w:rFonts w:eastAsia="Times New Roman" w:cs="Arial"/>
          <w:bCs/>
          <w:color w:val="002060"/>
          <w:sz w:val="21"/>
          <w:szCs w:val="21"/>
        </w:rPr>
      </w:pPr>
      <w:r>
        <w:rPr>
          <w:b/>
          <w:color w:val="002060"/>
          <w:sz w:val="21"/>
          <w:szCs w:val="21"/>
        </w:rPr>
        <w:t>Partie 1 Instructions :</w:t>
      </w:r>
      <w:r>
        <w:rPr>
          <w:color w:val="002060"/>
          <w:sz w:val="21"/>
          <w:szCs w:val="21"/>
        </w:rPr>
        <w:t xml:space="preserve"> En plus d’un exposé détaillé de l’offre technique (partie 2 de l’annexe B), </w:t>
      </w:r>
      <w:r>
        <w:rPr>
          <w:color w:val="002060"/>
          <w:sz w:val="21"/>
          <w:szCs w:val="21"/>
          <w:u w:val="single"/>
        </w:rPr>
        <w:t>les documents obligatoires énumérés ci-dessous (points 1 à 9) doivent être signés pour confirmer l’engagement de conformité du fournisseur et soumis dans l’enveloppe scellée contenant l’offre technique</w:t>
      </w:r>
      <w:r>
        <w:rPr>
          <w:color w:val="002060"/>
          <w:sz w:val="21"/>
          <w:szCs w:val="21"/>
        </w:rPr>
        <w:t>. La non-présentation de ces documents/preuve de conformité entraînera l’inéligibilité à l’offre.</w:t>
      </w:r>
      <w:r>
        <w:rPr>
          <w:bCs/>
          <w:color w:val="002060"/>
          <w:sz w:val="21"/>
          <w:szCs w:val="21"/>
        </w:rPr>
        <w:t xml:space="preserve"> Pour les certifications obligatoires, veuillez également présenter tout document associé. Toutes les pages de la présente Annexe doivent être datées, paraphées et revêtues du cachet de la société.  </w:t>
      </w:r>
    </w:p>
    <w:p w14:paraId="4B1B453C" w14:textId="5F41BAB0" w:rsidR="00426679" w:rsidRPr="00687A69" w:rsidRDefault="00DF6A01" w:rsidP="00385EE9">
      <w:pPr>
        <w:pBdr>
          <w:top w:val="single" w:sz="8" w:space="1" w:color="auto"/>
          <w:left w:val="single" w:sz="8" w:space="4" w:color="auto"/>
          <w:bottom w:val="single" w:sz="8" w:space="0" w:color="auto"/>
          <w:right w:val="single" w:sz="8" w:space="4" w:color="auto"/>
          <w:between w:val="single" w:sz="8" w:space="1" w:color="auto"/>
          <w:bar w:val="single" w:sz="8" w:color="auto"/>
        </w:pBdr>
        <w:shd w:val="clear" w:color="auto" w:fill="FDF1E9"/>
        <w:spacing w:after="0" w:line="240" w:lineRule="auto"/>
        <w:contextualSpacing/>
        <w:jc w:val="both"/>
        <w:rPr>
          <w:rFonts w:eastAsia="Times New Roman" w:cs="Arial"/>
          <w:color w:val="002060"/>
          <w:sz w:val="21"/>
          <w:szCs w:val="21"/>
        </w:rPr>
      </w:pPr>
      <w:r>
        <w:rPr>
          <w:b/>
          <w:bCs/>
          <w:color w:val="002060"/>
          <w:sz w:val="21"/>
          <w:szCs w:val="21"/>
        </w:rPr>
        <w:t>Note :</w:t>
      </w:r>
      <w:r>
        <w:rPr>
          <w:bCs/>
          <w:color w:val="002060"/>
          <w:sz w:val="21"/>
          <w:szCs w:val="21"/>
        </w:rPr>
        <w:t xml:space="preserve"> Si une société propose plus d’un type de mécanisme d’exécution, pour lequel il existe d’autres documents associés, la relation entre les documents et les différents mécanismes d’exécution doit être indiquée dans la section «</w:t>
      </w:r>
      <w:r w:rsidR="00694926">
        <w:rPr>
          <w:bCs/>
          <w:color w:val="002060"/>
          <w:sz w:val="21"/>
          <w:szCs w:val="21"/>
        </w:rPr>
        <w:t> </w:t>
      </w:r>
      <w:r>
        <w:rPr>
          <w:bCs/>
          <w:color w:val="002060"/>
          <w:sz w:val="21"/>
          <w:szCs w:val="21"/>
        </w:rPr>
        <w:t>Commentaires</w:t>
      </w:r>
      <w:r w:rsidR="00694926">
        <w:rPr>
          <w:bCs/>
          <w:color w:val="002060"/>
          <w:sz w:val="21"/>
          <w:szCs w:val="21"/>
        </w:rPr>
        <w:t> </w:t>
      </w:r>
      <w:r>
        <w:rPr>
          <w:bCs/>
          <w:color w:val="002060"/>
          <w:sz w:val="21"/>
          <w:szCs w:val="21"/>
        </w:rPr>
        <w:t>» de la partie 1. Si les documents fournis s’appliquent à tous les mécanismes d’exécution proposés, veuillez également l’indiquer.</w:t>
      </w:r>
    </w:p>
    <w:p w14:paraId="3F4FEEBF" w14:textId="77777777" w:rsidR="001728C8" w:rsidRPr="00687A69" w:rsidRDefault="001728C8" w:rsidP="00D6798F">
      <w:pPr>
        <w:spacing w:after="0" w:line="240" w:lineRule="auto"/>
        <w:contextualSpacing/>
        <w:jc w:val="center"/>
        <w:rPr>
          <w:rFonts w:eastAsia="Times New Roman" w:cs="Arial"/>
          <w:b/>
          <w:color w:val="000000"/>
          <w:sz w:val="21"/>
          <w:szCs w:val="21"/>
          <w:lang w:eastAsia="en-GB"/>
        </w:rPr>
      </w:pPr>
    </w:p>
    <w:tbl>
      <w:tblPr>
        <w:tblStyle w:val="Grilledutableau"/>
        <w:tblW w:w="14737" w:type="dxa"/>
        <w:jc w:val="center"/>
        <w:tblLayout w:type="fixed"/>
        <w:tblCellMar>
          <w:left w:w="57" w:type="dxa"/>
          <w:right w:w="57" w:type="dxa"/>
        </w:tblCellMar>
        <w:tblLook w:val="04A0" w:firstRow="1" w:lastRow="0" w:firstColumn="1" w:lastColumn="0" w:noHBand="0" w:noVBand="1"/>
      </w:tblPr>
      <w:tblGrid>
        <w:gridCol w:w="421"/>
        <w:gridCol w:w="7938"/>
        <w:gridCol w:w="1275"/>
        <w:gridCol w:w="5103"/>
      </w:tblGrid>
      <w:tr w:rsidR="00731E13" w:rsidRPr="00687A69" w14:paraId="7DD71F82" w14:textId="77777777" w:rsidTr="00687A69">
        <w:trPr>
          <w:trHeight w:val="373"/>
          <w:jc w:val="center"/>
        </w:trPr>
        <w:tc>
          <w:tcPr>
            <w:tcW w:w="8359" w:type="dxa"/>
            <w:gridSpan w:val="2"/>
            <w:tcBorders>
              <w:bottom w:val="single" w:sz="4" w:space="0" w:color="auto"/>
            </w:tcBorders>
            <w:shd w:val="clear" w:color="auto" w:fill="DEEAF6" w:themeFill="accent1" w:themeFillTint="33"/>
            <w:vAlign w:val="center"/>
          </w:tcPr>
          <w:p w14:paraId="7886F212" w14:textId="561F30E6" w:rsidR="00F16F65" w:rsidRPr="00687A69" w:rsidRDefault="00B6602B" w:rsidP="00F16F65">
            <w:pPr>
              <w:contextualSpacing/>
              <w:jc w:val="center"/>
              <w:rPr>
                <w:rFonts w:cs="Arial"/>
                <w:b/>
                <w:color w:val="000000"/>
                <w:sz w:val="21"/>
                <w:szCs w:val="21"/>
              </w:rPr>
            </w:pPr>
            <w:r>
              <w:rPr>
                <w:b/>
                <w:sz w:val="21"/>
                <w:szCs w:val="21"/>
              </w:rPr>
              <w:t xml:space="preserve">Documents </w:t>
            </w:r>
            <w:r>
              <w:rPr>
                <w:b/>
                <w:color w:val="000000"/>
                <w:sz w:val="21"/>
                <w:szCs w:val="21"/>
                <w:u w:val="single"/>
              </w:rPr>
              <w:t>obligatoires</w:t>
            </w:r>
            <w:r>
              <w:rPr>
                <w:b/>
                <w:color w:val="000000"/>
                <w:sz w:val="21"/>
                <w:szCs w:val="21"/>
              </w:rPr>
              <w:t xml:space="preserve"> </w:t>
            </w:r>
            <w:r>
              <w:rPr>
                <w:b/>
                <w:color w:val="1F3864" w:themeColor="accent5" w:themeShade="80"/>
                <w:sz w:val="21"/>
                <w:szCs w:val="21"/>
              </w:rPr>
              <w:t>(</w:t>
            </w:r>
            <w:r>
              <w:rPr>
                <w:b/>
                <w:color w:val="1F3864" w:themeColor="accent5" w:themeShade="80"/>
                <w:sz w:val="21"/>
                <w:szCs w:val="21"/>
                <w:u w:val="single"/>
              </w:rPr>
              <w:t>évaluation de réussite/échec</w:t>
            </w:r>
            <w:r>
              <w:rPr>
                <w:b/>
                <w:color w:val="1F3864" w:themeColor="accent5" w:themeShade="80"/>
                <w:sz w:val="21"/>
                <w:szCs w:val="21"/>
              </w:rPr>
              <w:t>)</w:t>
            </w:r>
          </w:p>
        </w:tc>
        <w:tc>
          <w:tcPr>
            <w:tcW w:w="1275" w:type="dxa"/>
            <w:tcBorders>
              <w:bottom w:val="single" w:sz="4" w:space="0" w:color="auto"/>
            </w:tcBorders>
            <w:shd w:val="clear" w:color="auto" w:fill="DEEAF6" w:themeFill="accent1" w:themeFillTint="33"/>
            <w:vAlign w:val="center"/>
          </w:tcPr>
          <w:p w14:paraId="6C0190D3" w14:textId="77777777" w:rsidR="00731E13" w:rsidRPr="00687A69" w:rsidRDefault="00731E13" w:rsidP="00E40B08">
            <w:pPr>
              <w:contextualSpacing/>
              <w:jc w:val="center"/>
              <w:rPr>
                <w:rFonts w:cs="Arial"/>
                <w:b/>
                <w:color w:val="000000"/>
                <w:sz w:val="21"/>
                <w:szCs w:val="21"/>
              </w:rPr>
            </w:pPr>
            <w:r>
              <w:rPr>
                <w:b/>
                <w:color w:val="000000"/>
                <w:sz w:val="21"/>
                <w:szCs w:val="21"/>
              </w:rPr>
              <w:t>Soumis (oui/non)</w:t>
            </w:r>
          </w:p>
        </w:tc>
        <w:tc>
          <w:tcPr>
            <w:tcW w:w="5103" w:type="dxa"/>
            <w:shd w:val="clear" w:color="auto" w:fill="DEEAF6" w:themeFill="accent1" w:themeFillTint="33"/>
            <w:vAlign w:val="center"/>
          </w:tcPr>
          <w:p w14:paraId="131DEB43" w14:textId="77777777" w:rsidR="00731E13" w:rsidRPr="00687A69" w:rsidRDefault="00731E13" w:rsidP="00E40B08">
            <w:pPr>
              <w:contextualSpacing/>
              <w:jc w:val="center"/>
              <w:rPr>
                <w:rFonts w:cs="Arial"/>
                <w:b/>
                <w:color w:val="000000"/>
                <w:sz w:val="21"/>
                <w:szCs w:val="21"/>
              </w:rPr>
            </w:pPr>
            <w:r>
              <w:rPr>
                <w:b/>
                <w:color w:val="000000"/>
                <w:sz w:val="21"/>
                <w:szCs w:val="21"/>
              </w:rPr>
              <w:t>Commentaires</w:t>
            </w:r>
          </w:p>
        </w:tc>
      </w:tr>
      <w:tr w:rsidR="0086404D" w:rsidRPr="00687A69" w14:paraId="32B32788" w14:textId="77777777" w:rsidTr="00687A69">
        <w:trPr>
          <w:trHeight w:val="557"/>
          <w:jc w:val="center"/>
        </w:trPr>
        <w:tc>
          <w:tcPr>
            <w:tcW w:w="421" w:type="dxa"/>
            <w:shd w:val="clear" w:color="auto" w:fill="D9D9D9" w:themeFill="background1" w:themeFillShade="D9"/>
            <w:vAlign w:val="center"/>
          </w:tcPr>
          <w:p w14:paraId="40E0CAF1" w14:textId="77777777" w:rsidR="00A6758C" w:rsidRPr="00687A69" w:rsidRDefault="007674D0" w:rsidP="00E40B08">
            <w:pPr>
              <w:contextualSpacing/>
              <w:jc w:val="center"/>
              <w:rPr>
                <w:rFonts w:cs="Arial"/>
                <w:color w:val="000000"/>
                <w:sz w:val="21"/>
                <w:szCs w:val="21"/>
              </w:rPr>
            </w:pPr>
            <w:r>
              <w:rPr>
                <w:color w:val="000000"/>
                <w:sz w:val="21"/>
                <w:szCs w:val="21"/>
              </w:rPr>
              <w:t>1</w:t>
            </w:r>
          </w:p>
        </w:tc>
        <w:tc>
          <w:tcPr>
            <w:tcW w:w="7938" w:type="dxa"/>
            <w:vAlign w:val="center"/>
          </w:tcPr>
          <w:p w14:paraId="0AD65E30" w14:textId="3C066723" w:rsidR="00A6758C" w:rsidRPr="00687A69" w:rsidRDefault="007674D0" w:rsidP="00AE5082">
            <w:pPr>
              <w:contextualSpacing/>
              <w:rPr>
                <w:rFonts w:cs="Arial"/>
                <w:color w:val="000000"/>
                <w:sz w:val="21"/>
                <w:szCs w:val="21"/>
              </w:rPr>
            </w:pPr>
            <w:r>
              <w:rPr>
                <w:b/>
                <w:bCs/>
                <w:sz w:val="21"/>
                <w:szCs w:val="21"/>
              </w:rPr>
              <w:t>États financiers vérifiés</w:t>
            </w:r>
            <w:r>
              <w:rPr>
                <w:sz w:val="21"/>
                <w:szCs w:val="21"/>
              </w:rPr>
              <w:t xml:space="preserve"> de la société au cours des 3 dernières années, y compris une déclaration de l’auditeur</w:t>
            </w:r>
            <w:r>
              <w:rPr>
                <w:color w:val="000000"/>
                <w:sz w:val="21"/>
                <w:szCs w:val="21"/>
              </w:rPr>
              <w:t xml:space="preserve"> </w:t>
            </w:r>
          </w:p>
        </w:tc>
        <w:tc>
          <w:tcPr>
            <w:tcW w:w="1275" w:type="dxa"/>
            <w:shd w:val="clear" w:color="auto" w:fill="FFF6DD"/>
            <w:vAlign w:val="center"/>
          </w:tcPr>
          <w:p w14:paraId="5CE81AB9" w14:textId="77777777" w:rsidR="00A6758C" w:rsidRPr="00643648" w:rsidRDefault="00A6758C" w:rsidP="00E40B08">
            <w:pPr>
              <w:contextualSpacing/>
              <w:jc w:val="center"/>
              <w:rPr>
                <w:rFonts w:cs="Arial"/>
                <w:b/>
                <w:color w:val="000000"/>
                <w:sz w:val="21"/>
                <w:szCs w:val="21"/>
                <w:lang w:val="fr-ML"/>
              </w:rPr>
            </w:pPr>
          </w:p>
        </w:tc>
        <w:tc>
          <w:tcPr>
            <w:tcW w:w="5103" w:type="dxa"/>
            <w:vAlign w:val="center"/>
          </w:tcPr>
          <w:p w14:paraId="4F560964" w14:textId="77777777" w:rsidR="00A6758C" w:rsidRPr="00643648" w:rsidRDefault="00A6758C" w:rsidP="00E40B08">
            <w:pPr>
              <w:contextualSpacing/>
              <w:rPr>
                <w:rFonts w:cs="Arial"/>
                <w:color w:val="000000"/>
                <w:sz w:val="21"/>
                <w:szCs w:val="21"/>
                <w:lang w:val="fr-ML"/>
              </w:rPr>
            </w:pPr>
          </w:p>
        </w:tc>
      </w:tr>
      <w:tr w:rsidR="0086404D" w:rsidRPr="00687A69" w14:paraId="6142CF60" w14:textId="77777777" w:rsidTr="00687A69">
        <w:trPr>
          <w:trHeight w:val="551"/>
          <w:jc w:val="center"/>
        </w:trPr>
        <w:tc>
          <w:tcPr>
            <w:tcW w:w="421" w:type="dxa"/>
            <w:shd w:val="clear" w:color="auto" w:fill="D9D9D9" w:themeFill="background1" w:themeFillShade="D9"/>
            <w:vAlign w:val="center"/>
          </w:tcPr>
          <w:p w14:paraId="1E005CF5" w14:textId="77777777" w:rsidR="00A6758C" w:rsidRPr="00687A69" w:rsidRDefault="007674D0" w:rsidP="00E40B08">
            <w:pPr>
              <w:contextualSpacing/>
              <w:jc w:val="center"/>
              <w:rPr>
                <w:rFonts w:cs="Arial"/>
                <w:color w:val="000000"/>
                <w:sz w:val="21"/>
                <w:szCs w:val="21"/>
              </w:rPr>
            </w:pPr>
            <w:r>
              <w:rPr>
                <w:color w:val="000000"/>
                <w:sz w:val="21"/>
                <w:szCs w:val="21"/>
              </w:rPr>
              <w:t>2</w:t>
            </w:r>
          </w:p>
        </w:tc>
        <w:tc>
          <w:tcPr>
            <w:tcW w:w="7938" w:type="dxa"/>
            <w:vAlign w:val="center"/>
          </w:tcPr>
          <w:p w14:paraId="0EFAE099" w14:textId="77777777" w:rsidR="00A6758C" w:rsidRPr="00687A69" w:rsidRDefault="00A6758C" w:rsidP="00E40B08">
            <w:pPr>
              <w:contextualSpacing/>
              <w:rPr>
                <w:rFonts w:cs="Arial"/>
                <w:color w:val="000000"/>
                <w:sz w:val="21"/>
                <w:szCs w:val="21"/>
              </w:rPr>
            </w:pPr>
            <w:r>
              <w:rPr>
                <w:color w:val="000000"/>
                <w:sz w:val="21"/>
                <w:szCs w:val="21"/>
              </w:rPr>
              <w:t xml:space="preserve">Copie certifiée conforme du </w:t>
            </w:r>
            <w:r>
              <w:rPr>
                <w:b/>
                <w:color w:val="000000"/>
                <w:sz w:val="21"/>
                <w:szCs w:val="21"/>
              </w:rPr>
              <w:t>certificat d’immatriculation</w:t>
            </w:r>
            <w:r>
              <w:rPr>
                <w:color w:val="000000"/>
                <w:sz w:val="21"/>
                <w:szCs w:val="21"/>
              </w:rPr>
              <w:t xml:space="preserve"> dans le pays</w:t>
            </w:r>
          </w:p>
        </w:tc>
        <w:tc>
          <w:tcPr>
            <w:tcW w:w="1275" w:type="dxa"/>
            <w:shd w:val="clear" w:color="auto" w:fill="FFF6DD"/>
            <w:vAlign w:val="center"/>
          </w:tcPr>
          <w:p w14:paraId="49870CE5" w14:textId="77777777" w:rsidR="00A6758C" w:rsidRPr="00643648" w:rsidRDefault="00A6758C" w:rsidP="00E40B08">
            <w:pPr>
              <w:contextualSpacing/>
              <w:jc w:val="center"/>
              <w:rPr>
                <w:rFonts w:cs="Arial"/>
                <w:b/>
                <w:color w:val="000000"/>
                <w:sz w:val="21"/>
                <w:szCs w:val="21"/>
                <w:lang w:val="fr-ML"/>
              </w:rPr>
            </w:pPr>
          </w:p>
        </w:tc>
        <w:tc>
          <w:tcPr>
            <w:tcW w:w="5103" w:type="dxa"/>
            <w:vAlign w:val="center"/>
          </w:tcPr>
          <w:p w14:paraId="5D0699B0" w14:textId="77777777" w:rsidR="00A6758C" w:rsidRPr="00643648" w:rsidRDefault="00A6758C" w:rsidP="00E40B08">
            <w:pPr>
              <w:contextualSpacing/>
              <w:rPr>
                <w:rFonts w:cs="Arial"/>
                <w:color w:val="000000"/>
                <w:sz w:val="21"/>
                <w:szCs w:val="21"/>
                <w:lang w:val="fr-ML"/>
              </w:rPr>
            </w:pPr>
          </w:p>
        </w:tc>
      </w:tr>
      <w:tr w:rsidR="0086404D" w:rsidRPr="00687A69" w14:paraId="4D839E7C" w14:textId="77777777" w:rsidTr="00942C96">
        <w:trPr>
          <w:trHeight w:val="559"/>
          <w:jc w:val="center"/>
        </w:trPr>
        <w:tc>
          <w:tcPr>
            <w:tcW w:w="421" w:type="dxa"/>
            <w:shd w:val="clear" w:color="auto" w:fill="D9D9D9" w:themeFill="background1" w:themeFillShade="D9"/>
            <w:vAlign w:val="center"/>
          </w:tcPr>
          <w:p w14:paraId="5B1A78EE" w14:textId="77777777" w:rsidR="00A6758C" w:rsidRPr="00687A69" w:rsidRDefault="007674D0" w:rsidP="00E40B08">
            <w:pPr>
              <w:contextualSpacing/>
              <w:jc w:val="center"/>
              <w:rPr>
                <w:rFonts w:cs="Arial"/>
                <w:color w:val="000000"/>
                <w:sz w:val="21"/>
                <w:szCs w:val="21"/>
              </w:rPr>
            </w:pPr>
            <w:r>
              <w:rPr>
                <w:color w:val="000000"/>
                <w:sz w:val="21"/>
                <w:szCs w:val="21"/>
              </w:rPr>
              <w:t>3</w:t>
            </w:r>
          </w:p>
        </w:tc>
        <w:tc>
          <w:tcPr>
            <w:tcW w:w="7938" w:type="dxa"/>
            <w:vAlign w:val="center"/>
          </w:tcPr>
          <w:p w14:paraId="219E213F" w14:textId="4ACFC64B" w:rsidR="00A6758C" w:rsidRPr="00687A69" w:rsidRDefault="00A6758C" w:rsidP="009A2DE6">
            <w:pPr>
              <w:contextualSpacing/>
              <w:rPr>
                <w:rFonts w:cs="Arial"/>
                <w:color w:val="000000"/>
                <w:sz w:val="21"/>
                <w:szCs w:val="21"/>
              </w:rPr>
            </w:pPr>
            <w:r>
              <w:rPr>
                <w:sz w:val="21"/>
                <w:szCs w:val="21"/>
              </w:rPr>
              <w:t xml:space="preserve">Copie certifiée conforme du </w:t>
            </w:r>
            <w:r>
              <w:rPr>
                <w:b/>
                <w:sz w:val="21"/>
                <w:szCs w:val="21"/>
              </w:rPr>
              <w:t>permis permettant de fournir des services de transferts monétaires</w:t>
            </w:r>
            <w:r>
              <w:rPr>
                <w:sz w:val="21"/>
                <w:szCs w:val="21"/>
              </w:rPr>
              <w:t xml:space="preserve">, émis par l’autorité gouvernementale concernée </w:t>
            </w:r>
          </w:p>
        </w:tc>
        <w:tc>
          <w:tcPr>
            <w:tcW w:w="1275" w:type="dxa"/>
            <w:shd w:val="clear" w:color="auto" w:fill="FFF6DD"/>
            <w:vAlign w:val="center"/>
          </w:tcPr>
          <w:p w14:paraId="4A6E3F1C" w14:textId="77777777" w:rsidR="00A6758C" w:rsidRPr="00643648" w:rsidRDefault="00A6758C" w:rsidP="00E40B08">
            <w:pPr>
              <w:contextualSpacing/>
              <w:jc w:val="center"/>
              <w:rPr>
                <w:rFonts w:cs="Arial"/>
                <w:b/>
                <w:color w:val="000000"/>
                <w:sz w:val="21"/>
                <w:szCs w:val="21"/>
                <w:lang w:val="fr-ML"/>
              </w:rPr>
            </w:pPr>
          </w:p>
        </w:tc>
        <w:tc>
          <w:tcPr>
            <w:tcW w:w="5103" w:type="dxa"/>
            <w:vAlign w:val="center"/>
          </w:tcPr>
          <w:p w14:paraId="0277EB1E" w14:textId="77777777" w:rsidR="00A6758C" w:rsidRPr="00643648" w:rsidRDefault="00A6758C" w:rsidP="00E40B08">
            <w:pPr>
              <w:contextualSpacing/>
              <w:rPr>
                <w:rFonts w:cs="Arial"/>
                <w:color w:val="000000"/>
                <w:sz w:val="21"/>
                <w:szCs w:val="21"/>
                <w:lang w:val="fr-ML"/>
              </w:rPr>
            </w:pPr>
          </w:p>
        </w:tc>
      </w:tr>
      <w:tr w:rsidR="0086404D" w:rsidRPr="00687A69" w14:paraId="6097F5C1" w14:textId="77777777" w:rsidTr="00942C96">
        <w:trPr>
          <w:trHeight w:val="567"/>
          <w:jc w:val="center"/>
        </w:trPr>
        <w:tc>
          <w:tcPr>
            <w:tcW w:w="421" w:type="dxa"/>
            <w:shd w:val="clear" w:color="auto" w:fill="D9D9D9" w:themeFill="background1" w:themeFillShade="D9"/>
            <w:vAlign w:val="center"/>
          </w:tcPr>
          <w:p w14:paraId="4D63EAEB" w14:textId="77777777" w:rsidR="00A6758C" w:rsidRPr="00687A69" w:rsidRDefault="007674D0" w:rsidP="00E40B08">
            <w:pPr>
              <w:contextualSpacing/>
              <w:jc w:val="center"/>
              <w:rPr>
                <w:rFonts w:cs="Arial"/>
                <w:color w:val="000000"/>
                <w:sz w:val="21"/>
                <w:szCs w:val="21"/>
              </w:rPr>
            </w:pPr>
            <w:r>
              <w:rPr>
                <w:color w:val="000000"/>
                <w:sz w:val="21"/>
                <w:szCs w:val="21"/>
              </w:rPr>
              <w:t>4</w:t>
            </w:r>
          </w:p>
        </w:tc>
        <w:tc>
          <w:tcPr>
            <w:tcW w:w="7938" w:type="dxa"/>
            <w:vAlign w:val="center"/>
          </w:tcPr>
          <w:p w14:paraId="0D380B1F" w14:textId="77777777" w:rsidR="00A6758C" w:rsidRPr="00687A69" w:rsidRDefault="00A6758C" w:rsidP="00E40B08">
            <w:pPr>
              <w:contextualSpacing/>
              <w:rPr>
                <w:rFonts w:cs="Arial"/>
                <w:color w:val="000000"/>
                <w:sz w:val="21"/>
                <w:szCs w:val="21"/>
              </w:rPr>
            </w:pPr>
            <w:r>
              <w:rPr>
                <w:color w:val="000000"/>
                <w:sz w:val="21"/>
                <w:szCs w:val="21"/>
              </w:rPr>
              <w:t xml:space="preserve">Document(s) attestant </w:t>
            </w:r>
            <w:r>
              <w:rPr>
                <w:b/>
                <w:color w:val="000000"/>
                <w:sz w:val="21"/>
                <w:szCs w:val="21"/>
              </w:rPr>
              <w:t>l’enregistrement de la société avec les services fiscaux nationaux</w:t>
            </w:r>
          </w:p>
        </w:tc>
        <w:tc>
          <w:tcPr>
            <w:tcW w:w="1275" w:type="dxa"/>
            <w:shd w:val="clear" w:color="auto" w:fill="FFF6DD"/>
            <w:vAlign w:val="center"/>
          </w:tcPr>
          <w:p w14:paraId="3A0F5E42" w14:textId="77777777" w:rsidR="00A6758C" w:rsidRPr="00643648" w:rsidRDefault="00A6758C" w:rsidP="00E40B08">
            <w:pPr>
              <w:contextualSpacing/>
              <w:jc w:val="center"/>
              <w:rPr>
                <w:rFonts w:cs="Arial"/>
                <w:b/>
                <w:color w:val="000000"/>
                <w:sz w:val="21"/>
                <w:szCs w:val="21"/>
                <w:lang w:val="fr-ML"/>
              </w:rPr>
            </w:pPr>
          </w:p>
        </w:tc>
        <w:tc>
          <w:tcPr>
            <w:tcW w:w="5103" w:type="dxa"/>
            <w:vAlign w:val="center"/>
          </w:tcPr>
          <w:p w14:paraId="7A9FD414" w14:textId="77777777" w:rsidR="00A6758C" w:rsidRPr="00643648" w:rsidRDefault="00A6758C" w:rsidP="00E40B08">
            <w:pPr>
              <w:contextualSpacing/>
              <w:rPr>
                <w:rFonts w:cs="Arial"/>
                <w:color w:val="000000"/>
                <w:sz w:val="21"/>
                <w:szCs w:val="21"/>
                <w:lang w:val="fr-ML"/>
              </w:rPr>
            </w:pPr>
          </w:p>
        </w:tc>
      </w:tr>
      <w:tr w:rsidR="0086404D" w:rsidRPr="00687A69" w14:paraId="7F198E38" w14:textId="77777777" w:rsidTr="00942C96">
        <w:trPr>
          <w:trHeight w:val="546"/>
          <w:jc w:val="center"/>
        </w:trPr>
        <w:tc>
          <w:tcPr>
            <w:tcW w:w="421" w:type="dxa"/>
            <w:tcBorders>
              <w:bottom w:val="single" w:sz="4" w:space="0" w:color="auto"/>
            </w:tcBorders>
            <w:shd w:val="clear" w:color="auto" w:fill="D9D9D9" w:themeFill="background1" w:themeFillShade="D9"/>
            <w:vAlign w:val="center"/>
          </w:tcPr>
          <w:p w14:paraId="40BBDBEF" w14:textId="77777777" w:rsidR="00A6758C" w:rsidRPr="00687A69" w:rsidRDefault="004B5C02" w:rsidP="00E40B08">
            <w:pPr>
              <w:spacing w:before="60" w:after="60"/>
              <w:contextualSpacing/>
              <w:jc w:val="center"/>
              <w:rPr>
                <w:rFonts w:cs="Arial"/>
                <w:bCs/>
                <w:color w:val="000000"/>
                <w:sz w:val="21"/>
                <w:szCs w:val="21"/>
                <w:highlight w:val="yellow"/>
              </w:rPr>
            </w:pPr>
            <w:r>
              <w:rPr>
                <w:bCs/>
                <w:color w:val="000000"/>
                <w:sz w:val="21"/>
                <w:szCs w:val="21"/>
              </w:rPr>
              <w:t>5</w:t>
            </w:r>
          </w:p>
        </w:tc>
        <w:tc>
          <w:tcPr>
            <w:tcW w:w="7938" w:type="dxa"/>
            <w:tcBorders>
              <w:bottom w:val="single" w:sz="4" w:space="0" w:color="auto"/>
            </w:tcBorders>
            <w:vAlign w:val="center"/>
          </w:tcPr>
          <w:p w14:paraId="01F12C1B" w14:textId="702A53F8" w:rsidR="00A6758C" w:rsidRPr="006C3698" w:rsidRDefault="00FC5013" w:rsidP="00AE5082">
            <w:pPr>
              <w:spacing w:before="60"/>
              <w:contextualSpacing/>
              <w:rPr>
                <w:rFonts w:cs="Arial"/>
                <w:sz w:val="21"/>
                <w:szCs w:val="21"/>
                <w:highlight w:val="yellow"/>
              </w:rPr>
            </w:pPr>
            <w:r>
              <w:rPr>
                <w:b/>
                <w:bCs/>
                <w:color w:val="000000"/>
                <w:sz w:val="21"/>
                <w:szCs w:val="21"/>
              </w:rPr>
              <w:t>Annexe D</w:t>
            </w:r>
            <w:r>
              <w:rPr>
                <w:color w:val="000000"/>
                <w:sz w:val="21"/>
                <w:szCs w:val="21"/>
              </w:rPr>
              <w:t xml:space="preserve"> - </w:t>
            </w:r>
            <w:r>
              <w:rPr>
                <w:color w:val="000000"/>
                <w:sz w:val="21"/>
                <w:szCs w:val="21"/>
                <w:u w:val="single"/>
              </w:rPr>
              <w:t>Formulaire d’inscription du fournisseur</w:t>
            </w:r>
            <w:r>
              <w:rPr>
                <w:color w:val="000000"/>
                <w:sz w:val="21"/>
                <w:szCs w:val="21"/>
              </w:rPr>
              <w:t xml:space="preserve"> (entièrement rempli - paraphé et revêtu du cachet de la société) </w:t>
            </w:r>
          </w:p>
        </w:tc>
        <w:tc>
          <w:tcPr>
            <w:tcW w:w="1275" w:type="dxa"/>
            <w:tcBorders>
              <w:bottom w:val="single" w:sz="4" w:space="0" w:color="auto"/>
            </w:tcBorders>
            <w:shd w:val="clear" w:color="auto" w:fill="FFF6DD"/>
            <w:vAlign w:val="center"/>
          </w:tcPr>
          <w:p w14:paraId="1C35B7D7" w14:textId="77777777" w:rsidR="00A6758C" w:rsidRPr="00643648" w:rsidRDefault="00A6758C" w:rsidP="00E40B08">
            <w:pPr>
              <w:contextualSpacing/>
              <w:jc w:val="center"/>
              <w:rPr>
                <w:rFonts w:cs="Arial"/>
                <w:b/>
                <w:bCs/>
                <w:color w:val="000000"/>
                <w:sz w:val="21"/>
                <w:szCs w:val="21"/>
                <w:lang w:val="fr-ML"/>
              </w:rPr>
            </w:pPr>
          </w:p>
        </w:tc>
        <w:tc>
          <w:tcPr>
            <w:tcW w:w="5103" w:type="dxa"/>
            <w:tcBorders>
              <w:bottom w:val="single" w:sz="4" w:space="0" w:color="auto"/>
            </w:tcBorders>
            <w:vAlign w:val="center"/>
          </w:tcPr>
          <w:p w14:paraId="53DA7724" w14:textId="77777777" w:rsidR="00A6758C" w:rsidRPr="00643648" w:rsidRDefault="00A6758C" w:rsidP="00E40B08">
            <w:pPr>
              <w:contextualSpacing/>
              <w:rPr>
                <w:rFonts w:cs="Arial"/>
                <w:bCs/>
                <w:color w:val="000000"/>
                <w:sz w:val="21"/>
                <w:szCs w:val="21"/>
                <w:u w:val="single"/>
                <w:lang w:val="fr-ML"/>
              </w:rPr>
            </w:pPr>
          </w:p>
        </w:tc>
      </w:tr>
      <w:tr w:rsidR="00085E89" w:rsidRPr="00687A69" w14:paraId="6DC18B69" w14:textId="77777777" w:rsidTr="00942C96">
        <w:trPr>
          <w:trHeight w:val="551"/>
          <w:jc w:val="center"/>
        </w:trPr>
        <w:tc>
          <w:tcPr>
            <w:tcW w:w="421" w:type="dxa"/>
            <w:tcBorders>
              <w:bottom w:val="single" w:sz="4" w:space="0" w:color="auto"/>
            </w:tcBorders>
            <w:shd w:val="clear" w:color="auto" w:fill="D9D9D9" w:themeFill="background1" w:themeFillShade="D9"/>
            <w:vAlign w:val="center"/>
          </w:tcPr>
          <w:p w14:paraId="1271FB00" w14:textId="77777777" w:rsidR="00085E89" w:rsidRPr="00687A69" w:rsidRDefault="00FC5013" w:rsidP="00E40B08">
            <w:pPr>
              <w:spacing w:before="60" w:after="60"/>
              <w:contextualSpacing/>
              <w:jc w:val="center"/>
              <w:rPr>
                <w:rFonts w:cs="Arial"/>
                <w:bCs/>
                <w:color w:val="000000"/>
                <w:sz w:val="21"/>
                <w:szCs w:val="21"/>
              </w:rPr>
            </w:pPr>
            <w:r>
              <w:rPr>
                <w:bCs/>
                <w:color w:val="000000"/>
                <w:sz w:val="21"/>
                <w:szCs w:val="21"/>
              </w:rPr>
              <w:t>6</w:t>
            </w:r>
          </w:p>
        </w:tc>
        <w:tc>
          <w:tcPr>
            <w:tcW w:w="7938" w:type="dxa"/>
            <w:tcBorders>
              <w:bottom w:val="single" w:sz="4" w:space="0" w:color="auto"/>
            </w:tcBorders>
            <w:vAlign w:val="center"/>
          </w:tcPr>
          <w:p w14:paraId="39B6DDD5" w14:textId="5184376E" w:rsidR="00085E89" w:rsidRPr="00687A69" w:rsidRDefault="00FC5013" w:rsidP="00AE5082">
            <w:pPr>
              <w:spacing w:before="60"/>
              <w:contextualSpacing/>
              <w:rPr>
                <w:rFonts w:cs="Arial"/>
                <w:bCs/>
                <w:color w:val="000000"/>
                <w:sz w:val="21"/>
                <w:szCs w:val="21"/>
                <w:highlight w:val="yellow"/>
              </w:rPr>
            </w:pPr>
            <w:r>
              <w:rPr>
                <w:b/>
                <w:bCs/>
                <w:color w:val="000000"/>
                <w:sz w:val="21"/>
                <w:szCs w:val="21"/>
              </w:rPr>
              <w:t>Annexe E</w:t>
            </w:r>
            <w:r>
              <w:rPr>
                <w:color w:val="000000"/>
                <w:sz w:val="21"/>
                <w:szCs w:val="21"/>
              </w:rPr>
              <w:t xml:space="preserve"> - </w:t>
            </w:r>
            <w:r>
              <w:rPr>
                <w:color w:val="000000"/>
                <w:sz w:val="21"/>
                <w:szCs w:val="21"/>
                <w:u w:val="single"/>
              </w:rPr>
              <w:t>Conditions générales du contrat - Contrats de fourniture de biens et services</w:t>
            </w:r>
            <w:r>
              <w:rPr>
                <w:color w:val="000000"/>
                <w:sz w:val="21"/>
                <w:szCs w:val="21"/>
              </w:rPr>
              <w:t xml:space="preserve"> (paraphées et revêtues d’un cachet sur chaque page)</w:t>
            </w:r>
          </w:p>
        </w:tc>
        <w:tc>
          <w:tcPr>
            <w:tcW w:w="1275" w:type="dxa"/>
            <w:tcBorders>
              <w:bottom w:val="single" w:sz="4" w:space="0" w:color="auto"/>
            </w:tcBorders>
            <w:shd w:val="clear" w:color="auto" w:fill="FFF6DD"/>
            <w:vAlign w:val="center"/>
          </w:tcPr>
          <w:p w14:paraId="3768FC03" w14:textId="77777777" w:rsidR="00085E89" w:rsidRPr="00643648" w:rsidRDefault="00085E89" w:rsidP="00E40B08">
            <w:pPr>
              <w:contextualSpacing/>
              <w:jc w:val="center"/>
              <w:rPr>
                <w:rFonts w:cs="Arial"/>
                <w:b/>
                <w:bCs/>
                <w:color w:val="000000"/>
                <w:sz w:val="21"/>
                <w:szCs w:val="21"/>
                <w:lang w:val="fr-ML"/>
              </w:rPr>
            </w:pPr>
          </w:p>
        </w:tc>
        <w:tc>
          <w:tcPr>
            <w:tcW w:w="5103" w:type="dxa"/>
            <w:tcBorders>
              <w:bottom w:val="single" w:sz="4" w:space="0" w:color="auto"/>
            </w:tcBorders>
            <w:vAlign w:val="center"/>
          </w:tcPr>
          <w:p w14:paraId="5198CB71" w14:textId="77777777" w:rsidR="00085E89" w:rsidRPr="00643648" w:rsidRDefault="00085E89" w:rsidP="00E40B08">
            <w:pPr>
              <w:contextualSpacing/>
              <w:rPr>
                <w:rFonts w:cs="Arial"/>
                <w:bCs/>
                <w:color w:val="000000"/>
                <w:sz w:val="21"/>
                <w:szCs w:val="21"/>
                <w:u w:val="single"/>
                <w:lang w:val="fr-ML"/>
              </w:rPr>
            </w:pPr>
          </w:p>
        </w:tc>
      </w:tr>
      <w:tr w:rsidR="00FC5013" w:rsidRPr="00687A69" w14:paraId="285CCBF7" w14:textId="77777777" w:rsidTr="00942C96">
        <w:trPr>
          <w:trHeight w:val="587"/>
          <w:jc w:val="center"/>
        </w:trPr>
        <w:tc>
          <w:tcPr>
            <w:tcW w:w="421" w:type="dxa"/>
            <w:tcBorders>
              <w:bottom w:val="single" w:sz="4" w:space="0" w:color="auto"/>
            </w:tcBorders>
            <w:shd w:val="clear" w:color="auto" w:fill="D9D9D9" w:themeFill="background1" w:themeFillShade="D9"/>
            <w:vAlign w:val="center"/>
          </w:tcPr>
          <w:p w14:paraId="350E216C" w14:textId="77777777" w:rsidR="00FC5013" w:rsidRPr="00687A69" w:rsidRDefault="00FC5013" w:rsidP="00E40B08">
            <w:pPr>
              <w:spacing w:before="60" w:after="60"/>
              <w:contextualSpacing/>
              <w:jc w:val="center"/>
              <w:rPr>
                <w:rFonts w:cs="Arial"/>
                <w:bCs/>
                <w:color w:val="000000"/>
                <w:sz w:val="21"/>
                <w:szCs w:val="21"/>
              </w:rPr>
            </w:pPr>
            <w:r>
              <w:rPr>
                <w:bCs/>
                <w:color w:val="000000"/>
                <w:sz w:val="21"/>
                <w:szCs w:val="21"/>
              </w:rPr>
              <w:t>7</w:t>
            </w:r>
          </w:p>
        </w:tc>
        <w:tc>
          <w:tcPr>
            <w:tcW w:w="7938" w:type="dxa"/>
            <w:tcBorders>
              <w:bottom w:val="single" w:sz="4" w:space="0" w:color="auto"/>
            </w:tcBorders>
            <w:vAlign w:val="center"/>
          </w:tcPr>
          <w:p w14:paraId="7A2503D3" w14:textId="461FE2F3" w:rsidR="00FC5013" w:rsidRPr="00687A69" w:rsidRDefault="00FC5013" w:rsidP="00942C96">
            <w:pPr>
              <w:jc w:val="both"/>
              <w:rPr>
                <w:rFonts w:eastAsia="Times New Roman" w:cs="Arial"/>
                <w:color w:val="000000"/>
                <w:sz w:val="21"/>
                <w:szCs w:val="21"/>
              </w:rPr>
            </w:pPr>
            <w:r>
              <w:rPr>
                <w:b/>
                <w:color w:val="000000"/>
                <w:sz w:val="21"/>
                <w:szCs w:val="21"/>
              </w:rPr>
              <w:t>Annexe F</w:t>
            </w:r>
            <w:r>
              <w:rPr>
                <w:color w:val="000000"/>
                <w:sz w:val="21"/>
                <w:szCs w:val="21"/>
              </w:rPr>
              <w:t xml:space="preserve"> - </w:t>
            </w:r>
            <w:r>
              <w:rPr>
                <w:color w:val="000000"/>
                <w:sz w:val="21"/>
                <w:szCs w:val="21"/>
                <w:u w:val="single"/>
              </w:rPr>
              <w:t>Accord de protection des données</w:t>
            </w:r>
            <w:r>
              <w:rPr>
                <w:color w:val="000000"/>
                <w:sz w:val="21"/>
                <w:szCs w:val="21"/>
              </w:rPr>
              <w:t xml:space="preserve"> (paraphé / précisez dans la section «</w:t>
            </w:r>
            <w:r w:rsidR="00694926">
              <w:rPr>
                <w:color w:val="000000"/>
                <w:sz w:val="21"/>
                <w:szCs w:val="21"/>
              </w:rPr>
              <w:t> </w:t>
            </w:r>
            <w:r>
              <w:rPr>
                <w:color w:val="000000"/>
                <w:sz w:val="21"/>
                <w:szCs w:val="21"/>
              </w:rPr>
              <w:t>Commentaires</w:t>
            </w:r>
            <w:r w:rsidR="00694926">
              <w:rPr>
                <w:color w:val="000000"/>
                <w:sz w:val="21"/>
                <w:szCs w:val="21"/>
              </w:rPr>
              <w:t> </w:t>
            </w:r>
            <w:r>
              <w:rPr>
                <w:color w:val="000000"/>
                <w:sz w:val="21"/>
                <w:szCs w:val="21"/>
              </w:rPr>
              <w:t>» si votre entreprise devra partager des données à caractère personnel avec des sous-traitants)</w:t>
            </w:r>
          </w:p>
        </w:tc>
        <w:tc>
          <w:tcPr>
            <w:tcW w:w="1275" w:type="dxa"/>
            <w:tcBorders>
              <w:bottom w:val="single" w:sz="4" w:space="0" w:color="auto"/>
            </w:tcBorders>
            <w:shd w:val="clear" w:color="auto" w:fill="FFF6DD"/>
            <w:vAlign w:val="center"/>
          </w:tcPr>
          <w:p w14:paraId="79109C73" w14:textId="77777777" w:rsidR="00FC5013" w:rsidRPr="00643648" w:rsidRDefault="00FC5013" w:rsidP="00E40B08">
            <w:pPr>
              <w:contextualSpacing/>
              <w:jc w:val="center"/>
              <w:rPr>
                <w:rFonts w:cs="Arial"/>
                <w:b/>
                <w:bCs/>
                <w:color w:val="000000"/>
                <w:sz w:val="21"/>
                <w:szCs w:val="21"/>
                <w:lang w:val="fr-ML"/>
              </w:rPr>
            </w:pPr>
          </w:p>
        </w:tc>
        <w:tc>
          <w:tcPr>
            <w:tcW w:w="5103" w:type="dxa"/>
            <w:tcBorders>
              <w:bottom w:val="single" w:sz="4" w:space="0" w:color="auto"/>
            </w:tcBorders>
            <w:vAlign w:val="center"/>
          </w:tcPr>
          <w:p w14:paraId="0D4EF013" w14:textId="77777777" w:rsidR="00FC5013" w:rsidRPr="00643648" w:rsidRDefault="00FC5013" w:rsidP="00E40B08">
            <w:pPr>
              <w:contextualSpacing/>
              <w:rPr>
                <w:rFonts w:cs="Arial"/>
                <w:bCs/>
                <w:color w:val="000000"/>
                <w:sz w:val="21"/>
                <w:szCs w:val="21"/>
                <w:u w:val="single"/>
                <w:lang w:val="fr-ML"/>
              </w:rPr>
            </w:pPr>
          </w:p>
        </w:tc>
      </w:tr>
      <w:tr w:rsidR="00AE5082" w:rsidRPr="00687A69" w14:paraId="50F78358" w14:textId="77777777" w:rsidTr="00942C96">
        <w:trPr>
          <w:trHeight w:val="528"/>
          <w:jc w:val="center"/>
        </w:trPr>
        <w:tc>
          <w:tcPr>
            <w:tcW w:w="421" w:type="dxa"/>
            <w:tcBorders>
              <w:bottom w:val="single" w:sz="4" w:space="0" w:color="auto"/>
            </w:tcBorders>
            <w:shd w:val="clear" w:color="auto" w:fill="D9D9D9" w:themeFill="background1" w:themeFillShade="D9"/>
            <w:vAlign w:val="center"/>
          </w:tcPr>
          <w:p w14:paraId="58C96B55" w14:textId="6E6BDD89" w:rsidR="00AE5082" w:rsidRPr="00687A69" w:rsidRDefault="00AE5082" w:rsidP="00E40B08">
            <w:pPr>
              <w:spacing w:before="60" w:after="60"/>
              <w:contextualSpacing/>
              <w:jc w:val="center"/>
              <w:rPr>
                <w:rFonts w:cs="Arial"/>
                <w:bCs/>
                <w:color w:val="000000"/>
                <w:sz w:val="21"/>
                <w:szCs w:val="21"/>
              </w:rPr>
            </w:pPr>
            <w:r>
              <w:rPr>
                <w:bCs/>
                <w:color w:val="000000"/>
                <w:sz w:val="21"/>
                <w:szCs w:val="21"/>
              </w:rPr>
              <w:t>8</w:t>
            </w:r>
          </w:p>
        </w:tc>
        <w:tc>
          <w:tcPr>
            <w:tcW w:w="7938" w:type="dxa"/>
            <w:tcBorders>
              <w:bottom w:val="single" w:sz="4" w:space="0" w:color="auto"/>
            </w:tcBorders>
            <w:vAlign w:val="center"/>
          </w:tcPr>
          <w:p w14:paraId="422779D7" w14:textId="450F40B2" w:rsidR="00AE5082" w:rsidRPr="00687A69" w:rsidRDefault="00AE5082" w:rsidP="00E40B08">
            <w:pPr>
              <w:spacing w:before="60"/>
              <w:contextualSpacing/>
              <w:rPr>
                <w:rFonts w:cs="Arial"/>
                <w:b/>
                <w:color w:val="000000"/>
                <w:sz w:val="21"/>
                <w:szCs w:val="21"/>
              </w:rPr>
            </w:pPr>
            <w:r>
              <w:rPr>
                <w:b/>
                <w:color w:val="000000"/>
                <w:sz w:val="21"/>
                <w:szCs w:val="21"/>
              </w:rPr>
              <w:t xml:space="preserve">Annexe G </w:t>
            </w:r>
            <w:r>
              <w:rPr>
                <w:color w:val="000000"/>
                <w:sz w:val="21"/>
                <w:szCs w:val="21"/>
              </w:rPr>
              <w:t>–</w:t>
            </w:r>
            <w:r>
              <w:rPr>
                <w:b/>
                <w:color w:val="000000"/>
                <w:sz w:val="21"/>
                <w:szCs w:val="21"/>
              </w:rPr>
              <w:t xml:space="preserve"> </w:t>
            </w:r>
            <w:r>
              <w:rPr>
                <w:color w:val="000000"/>
                <w:sz w:val="21"/>
                <w:szCs w:val="21"/>
                <w:u w:val="single"/>
              </w:rPr>
              <w:t>Code de conduite du fournisseur</w:t>
            </w:r>
            <w:r>
              <w:rPr>
                <w:b/>
                <w:color w:val="000000"/>
                <w:sz w:val="21"/>
                <w:szCs w:val="21"/>
              </w:rPr>
              <w:t xml:space="preserve"> </w:t>
            </w:r>
            <w:r>
              <w:rPr>
                <w:color w:val="000000"/>
                <w:sz w:val="21"/>
                <w:szCs w:val="21"/>
              </w:rPr>
              <w:t>- paraphé et revêtu d’un cachet sur chaque page</w:t>
            </w:r>
          </w:p>
        </w:tc>
        <w:tc>
          <w:tcPr>
            <w:tcW w:w="1275" w:type="dxa"/>
            <w:tcBorders>
              <w:bottom w:val="single" w:sz="4" w:space="0" w:color="auto"/>
            </w:tcBorders>
            <w:shd w:val="clear" w:color="auto" w:fill="FFF6DD"/>
            <w:vAlign w:val="center"/>
          </w:tcPr>
          <w:p w14:paraId="7F79FE66" w14:textId="77777777" w:rsidR="00AE5082" w:rsidRPr="00643648" w:rsidRDefault="00AE5082" w:rsidP="00E40B08">
            <w:pPr>
              <w:contextualSpacing/>
              <w:jc w:val="center"/>
              <w:rPr>
                <w:rFonts w:cs="Arial"/>
                <w:b/>
                <w:bCs/>
                <w:color w:val="000000"/>
                <w:sz w:val="21"/>
                <w:szCs w:val="21"/>
                <w:lang w:val="fr-ML"/>
              </w:rPr>
            </w:pPr>
          </w:p>
        </w:tc>
        <w:tc>
          <w:tcPr>
            <w:tcW w:w="5103" w:type="dxa"/>
            <w:tcBorders>
              <w:bottom w:val="single" w:sz="4" w:space="0" w:color="auto"/>
            </w:tcBorders>
            <w:vAlign w:val="center"/>
          </w:tcPr>
          <w:p w14:paraId="06219255" w14:textId="77777777" w:rsidR="00AE5082" w:rsidRPr="00643648" w:rsidRDefault="00AE5082" w:rsidP="00E40B08">
            <w:pPr>
              <w:contextualSpacing/>
              <w:rPr>
                <w:rFonts w:cs="Arial"/>
                <w:bCs/>
                <w:color w:val="000000"/>
                <w:sz w:val="21"/>
                <w:szCs w:val="21"/>
                <w:u w:val="single"/>
                <w:lang w:val="fr-ML"/>
              </w:rPr>
            </w:pPr>
          </w:p>
        </w:tc>
      </w:tr>
      <w:tr w:rsidR="00284C07" w:rsidRPr="00687A69" w14:paraId="29CC0B49" w14:textId="77777777" w:rsidTr="00942C96">
        <w:trPr>
          <w:trHeight w:val="559"/>
          <w:jc w:val="center"/>
        </w:trPr>
        <w:tc>
          <w:tcPr>
            <w:tcW w:w="421" w:type="dxa"/>
            <w:tcBorders>
              <w:bottom w:val="single" w:sz="4" w:space="0" w:color="auto"/>
            </w:tcBorders>
            <w:shd w:val="clear" w:color="auto" w:fill="D9D9D9" w:themeFill="background1" w:themeFillShade="D9"/>
            <w:vAlign w:val="center"/>
          </w:tcPr>
          <w:p w14:paraId="0ECFCEE6" w14:textId="266687AC" w:rsidR="00284C07" w:rsidRPr="00687A69" w:rsidRDefault="00AE5082" w:rsidP="00E40B08">
            <w:pPr>
              <w:spacing w:before="60" w:after="60"/>
              <w:contextualSpacing/>
              <w:jc w:val="center"/>
              <w:rPr>
                <w:rFonts w:cs="Arial"/>
                <w:bCs/>
                <w:color w:val="000000"/>
                <w:sz w:val="21"/>
                <w:szCs w:val="21"/>
              </w:rPr>
            </w:pPr>
            <w:r>
              <w:rPr>
                <w:bCs/>
                <w:color w:val="000000"/>
                <w:sz w:val="21"/>
                <w:szCs w:val="21"/>
              </w:rPr>
              <w:lastRenderedPageBreak/>
              <w:t>9</w:t>
            </w:r>
          </w:p>
        </w:tc>
        <w:tc>
          <w:tcPr>
            <w:tcW w:w="7938" w:type="dxa"/>
            <w:tcBorders>
              <w:bottom w:val="single" w:sz="4" w:space="0" w:color="auto"/>
            </w:tcBorders>
            <w:vAlign w:val="center"/>
          </w:tcPr>
          <w:p w14:paraId="5540FF02" w14:textId="5E744844" w:rsidR="00284C07" w:rsidRPr="00687A69" w:rsidRDefault="00AE5082" w:rsidP="00216127">
            <w:pPr>
              <w:spacing w:before="60"/>
              <w:contextualSpacing/>
              <w:rPr>
                <w:rFonts w:cs="Arial"/>
                <w:b/>
                <w:color w:val="000000"/>
                <w:sz w:val="21"/>
                <w:szCs w:val="21"/>
              </w:rPr>
            </w:pPr>
            <w:r>
              <w:rPr>
                <w:b/>
                <w:color w:val="000000"/>
                <w:sz w:val="21"/>
                <w:szCs w:val="21"/>
              </w:rPr>
              <w:t xml:space="preserve">Annexe H </w:t>
            </w:r>
            <w:r>
              <w:rPr>
                <w:color w:val="000000"/>
                <w:sz w:val="21"/>
                <w:szCs w:val="21"/>
              </w:rPr>
              <w:t>–</w:t>
            </w:r>
            <w:r>
              <w:rPr>
                <w:b/>
                <w:color w:val="000000"/>
                <w:sz w:val="21"/>
                <w:szCs w:val="21"/>
              </w:rPr>
              <w:t xml:space="preserve"> </w:t>
            </w:r>
            <w:r>
              <w:rPr>
                <w:color w:val="000000"/>
                <w:sz w:val="21"/>
                <w:szCs w:val="21"/>
                <w:u w:val="single"/>
              </w:rPr>
              <w:t>Mode de paiement des interventions monétaires et Dictionnaire des données</w:t>
            </w:r>
            <w:r>
              <w:rPr>
                <w:color w:val="000000"/>
                <w:sz w:val="21"/>
                <w:szCs w:val="21"/>
              </w:rPr>
              <w:t xml:space="preserve"> pour le système d’ERP</w:t>
            </w:r>
            <w:r>
              <w:rPr>
                <w:b/>
                <w:color w:val="000000"/>
                <w:sz w:val="21"/>
                <w:szCs w:val="21"/>
              </w:rPr>
              <w:t xml:space="preserve"> </w:t>
            </w:r>
            <w:r>
              <w:rPr>
                <w:color w:val="000000"/>
                <w:sz w:val="21"/>
                <w:szCs w:val="21"/>
              </w:rPr>
              <w:t xml:space="preserve">- </w:t>
            </w:r>
            <w:r>
              <w:rPr>
                <w:i/>
                <w:color w:val="1F3864" w:themeColor="accent5" w:themeShade="80"/>
                <w:sz w:val="21"/>
                <w:szCs w:val="21"/>
              </w:rPr>
              <w:t>(Ce document n’est obligatoire que si le fournisseur peut s’intégrer au système d’ERP du HCR (cf. question n° 4 en partie 2). Dans ce cas, le document doit être paraphé et revêtu du cachet de la société sur chaque page.)</w:t>
            </w:r>
          </w:p>
        </w:tc>
        <w:tc>
          <w:tcPr>
            <w:tcW w:w="1275" w:type="dxa"/>
            <w:tcBorders>
              <w:bottom w:val="single" w:sz="4" w:space="0" w:color="auto"/>
            </w:tcBorders>
            <w:shd w:val="clear" w:color="auto" w:fill="FFF6DD"/>
            <w:vAlign w:val="center"/>
          </w:tcPr>
          <w:p w14:paraId="3983C512" w14:textId="77777777" w:rsidR="00284C07" w:rsidRPr="00643648" w:rsidRDefault="00284C07" w:rsidP="00E40B08">
            <w:pPr>
              <w:contextualSpacing/>
              <w:jc w:val="center"/>
              <w:rPr>
                <w:rFonts w:cs="Arial"/>
                <w:b/>
                <w:bCs/>
                <w:color w:val="000000"/>
                <w:sz w:val="21"/>
                <w:szCs w:val="21"/>
                <w:lang w:val="fr-ML"/>
              </w:rPr>
            </w:pPr>
          </w:p>
        </w:tc>
        <w:tc>
          <w:tcPr>
            <w:tcW w:w="5103" w:type="dxa"/>
            <w:tcBorders>
              <w:bottom w:val="single" w:sz="4" w:space="0" w:color="auto"/>
            </w:tcBorders>
            <w:vAlign w:val="center"/>
          </w:tcPr>
          <w:p w14:paraId="0F2C191C" w14:textId="77777777" w:rsidR="00284C07" w:rsidRPr="00643648" w:rsidRDefault="00284C07" w:rsidP="00E40B08">
            <w:pPr>
              <w:contextualSpacing/>
              <w:rPr>
                <w:rFonts w:cs="Arial"/>
                <w:bCs/>
                <w:color w:val="000000"/>
                <w:sz w:val="21"/>
                <w:szCs w:val="21"/>
                <w:u w:val="single"/>
                <w:lang w:val="fr-ML"/>
              </w:rPr>
            </w:pPr>
          </w:p>
        </w:tc>
      </w:tr>
      <w:tr w:rsidR="00B64FF6" w:rsidRPr="00687A69" w14:paraId="5391F358" w14:textId="77777777" w:rsidTr="00687A69">
        <w:trPr>
          <w:trHeight w:val="355"/>
          <w:jc w:val="center"/>
        </w:trPr>
        <w:tc>
          <w:tcPr>
            <w:tcW w:w="8359" w:type="dxa"/>
            <w:gridSpan w:val="2"/>
            <w:shd w:val="clear" w:color="auto" w:fill="DEEAF6" w:themeFill="accent1" w:themeFillTint="33"/>
            <w:vAlign w:val="center"/>
          </w:tcPr>
          <w:p w14:paraId="084D1B4C" w14:textId="32679D45" w:rsidR="00B64FF6" w:rsidRPr="00687A69" w:rsidRDefault="00B6602B" w:rsidP="00F16F65">
            <w:pPr>
              <w:spacing w:before="60"/>
              <w:contextualSpacing/>
              <w:jc w:val="center"/>
              <w:rPr>
                <w:rFonts w:cs="Arial"/>
                <w:b/>
                <w:color w:val="000000"/>
                <w:sz w:val="21"/>
                <w:szCs w:val="21"/>
              </w:rPr>
            </w:pPr>
            <w:r>
              <w:rPr>
                <w:b/>
                <w:sz w:val="21"/>
                <w:szCs w:val="21"/>
              </w:rPr>
              <w:t xml:space="preserve">Certifications </w:t>
            </w:r>
            <w:r>
              <w:rPr>
                <w:b/>
                <w:color w:val="000000"/>
                <w:sz w:val="21"/>
                <w:szCs w:val="21"/>
                <w:u w:val="single"/>
              </w:rPr>
              <w:t>obligatoires</w:t>
            </w:r>
            <w:r>
              <w:rPr>
                <w:b/>
                <w:color w:val="000000"/>
                <w:sz w:val="21"/>
                <w:szCs w:val="21"/>
              </w:rPr>
              <w:t xml:space="preserve"> </w:t>
            </w:r>
            <w:r>
              <w:rPr>
                <w:b/>
                <w:color w:val="1F3864" w:themeColor="accent5" w:themeShade="80"/>
                <w:sz w:val="21"/>
                <w:szCs w:val="21"/>
              </w:rPr>
              <w:t>(</w:t>
            </w:r>
            <w:r>
              <w:rPr>
                <w:b/>
                <w:color w:val="1F3864" w:themeColor="accent5" w:themeShade="80"/>
                <w:sz w:val="21"/>
                <w:szCs w:val="21"/>
                <w:u w:val="single"/>
              </w:rPr>
              <w:t>évaluation de réussite/échec</w:t>
            </w:r>
            <w:r>
              <w:rPr>
                <w:b/>
                <w:color w:val="1F3864" w:themeColor="accent5" w:themeShade="80"/>
                <w:sz w:val="21"/>
                <w:szCs w:val="21"/>
              </w:rPr>
              <w:t>)</w:t>
            </w:r>
          </w:p>
        </w:tc>
        <w:tc>
          <w:tcPr>
            <w:tcW w:w="1275" w:type="dxa"/>
            <w:tcBorders>
              <w:bottom w:val="single" w:sz="4" w:space="0" w:color="auto"/>
            </w:tcBorders>
            <w:shd w:val="clear" w:color="auto" w:fill="DEEAF6" w:themeFill="accent1" w:themeFillTint="33"/>
            <w:vAlign w:val="center"/>
          </w:tcPr>
          <w:p w14:paraId="111CDBAC" w14:textId="77777777" w:rsidR="00B64FF6" w:rsidRPr="00687A69" w:rsidRDefault="00B64FF6" w:rsidP="00E40B08">
            <w:pPr>
              <w:contextualSpacing/>
              <w:jc w:val="center"/>
              <w:rPr>
                <w:rFonts w:cs="Arial"/>
                <w:bCs/>
                <w:color w:val="000000"/>
                <w:sz w:val="21"/>
                <w:szCs w:val="21"/>
                <w:u w:val="single"/>
              </w:rPr>
            </w:pPr>
            <w:r>
              <w:rPr>
                <w:b/>
                <w:color w:val="000000"/>
                <w:sz w:val="21"/>
                <w:szCs w:val="21"/>
              </w:rPr>
              <w:t>Certifications (oui/non)</w:t>
            </w:r>
          </w:p>
        </w:tc>
        <w:tc>
          <w:tcPr>
            <w:tcW w:w="5103" w:type="dxa"/>
            <w:tcBorders>
              <w:bottom w:val="single" w:sz="4" w:space="0" w:color="auto"/>
            </w:tcBorders>
            <w:shd w:val="clear" w:color="auto" w:fill="DEEAF6" w:themeFill="accent1" w:themeFillTint="33"/>
            <w:vAlign w:val="center"/>
          </w:tcPr>
          <w:p w14:paraId="1B241DA5" w14:textId="77777777" w:rsidR="00B64FF6" w:rsidRPr="00687A69" w:rsidRDefault="00B64FF6" w:rsidP="00E40B08">
            <w:pPr>
              <w:contextualSpacing/>
              <w:jc w:val="center"/>
              <w:rPr>
                <w:rFonts w:cs="Arial"/>
                <w:b/>
                <w:bCs/>
                <w:color w:val="000000"/>
                <w:sz w:val="21"/>
                <w:szCs w:val="21"/>
              </w:rPr>
            </w:pPr>
            <w:r>
              <w:rPr>
                <w:b/>
                <w:bCs/>
                <w:color w:val="000000"/>
                <w:sz w:val="21"/>
                <w:szCs w:val="21"/>
              </w:rPr>
              <w:t>Commentaires</w:t>
            </w:r>
          </w:p>
        </w:tc>
      </w:tr>
      <w:tr w:rsidR="004B5C02" w:rsidRPr="00687A69" w14:paraId="7BCFD2C4" w14:textId="77777777" w:rsidTr="00687A69">
        <w:trPr>
          <w:trHeight w:val="517"/>
          <w:jc w:val="center"/>
        </w:trPr>
        <w:tc>
          <w:tcPr>
            <w:tcW w:w="421" w:type="dxa"/>
            <w:shd w:val="clear" w:color="auto" w:fill="D9D9D9" w:themeFill="background1" w:themeFillShade="D9"/>
            <w:vAlign w:val="center"/>
          </w:tcPr>
          <w:p w14:paraId="21315DD9" w14:textId="77777777" w:rsidR="004B5C02" w:rsidRPr="00687A69" w:rsidRDefault="00FC5013" w:rsidP="00E40B08">
            <w:pPr>
              <w:spacing w:before="60" w:after="60"/>
              <w:contextualSpacing/>
              <w:jc w:val="center"/>
              <w:rPr>
                <w:rFonts w:cs="Arial"/>
                <w:bCs/>
                <w:color w:val="000000"/>
                <w:sz w:val="21"/>
                <w:szCs w:val="21"/>
              </w:rPr>
            </w:pPr>
            <w:r>
              <w:rPr>
                <w:bCs/>
                <w:color w:val="000000"/>
                <w:sz w:val="21"/>
                <w:szCs w:val="21"/>
              </w:rPr>
              <w:t>1</w:t>
            </w:r>
          </w:p>
        </w:tc>
        <w:tc>
          <w:tcPr>
            <w:tcW w:w="7938" w:type="dxa"/>
            <w:vAlign w:val="center"/>
          </w:tcPr>
          <w:p w14:paraId="7DEA105D" w14:textId="457A738D" w:rsidR="004B5C02" w:rsidRPr="00687A69" w:rsidRDefault="00C57FFB" w:rsidP="006E56CC">
            <w:pPr>
              <w:spacing w:before="60" w:after="60"/>
              <w:contextualSpacing/>
              <w:rPr>
                <w:rFonts w:cs="Arial"/>
                <w:bCs/>
                <w:color w:val="000000"/>
                <w:sz w:val="21"/>
                <w:szCs w:val="21"/>
              </w:rPr>
            </w:pPr>
            <w:r>
              <w:rPr>
                <w:color w:val="000000"/>
                <w:sz w:val="21"/>
                <w:szCs w:val="21"/>
              </w:rPr>
              <w:t xml:space="preserve">Le fournisseur certifie </w:t>
            </w:r>
            <w:r>
              <w:rPr>
                <w:b/>
                <w:color w:val="000000"/>
                <w:sz w:val="21"/>
                <w:szCs w:val="21"/>
              </w:rPr>
              <w:t>la conformité avec les régulations nationales du principe «</w:t>
            </w:r>
            <w:r w:rsidR="00694926">
              <w:rPr>
                <w:b/>
                <w:color w:val="000000"/>
                <w:sz w:val="21"/>
                <w:szCs w:val="21"/>
              </w:rPr>
              <w:t> </w:t>
            </w:r>
            <w:r>
              <w:rPr>
                <w:b/>
                <w:color w:val="000000"/>
                <w:sz w:val="21"/>
                <w:szCs w:val="21"/>
              </w:rPr>
              <w:t>Connaissez votre client</w:t>
            </w:r>
            <w:r w:rsidR="00694926">
              <w:rPr>
                <w:b/>
                <w:color w:val="000000"/>
                <w:sz w:val="21"/>
                <w:szCs w:val="21"/>
              </w:rPr>
              <w:t> </w:t>
            </w:r>
            <w:r>
              <w:rPr>
                <w:b/>
                <w:color w:val="000000"/>
                <w:sz w:val="21"/>
                <w:szCs w:val="21"/>
              </w:rPr>
              <w:t>»</w:t>
            </w:r>
            <w:r>
              <w:rPr>
                <w:color w:val="000000"/>
                <w:sz w:val="21"/>
                <w:szCs w:val="21"/>
              </w:rPr>
              <w:t>.</w:t>
            </w:r>
            <w:r>
              <w:rPr>
                <w:b/>
                <w:color w:val="000000"/>
                <w:sz w:val="21"/>
                <w:szCs w:val="21"/>
              </w:rPr>
              <w:t xml:space="preserve"> </w:t>
            </w:r>
          </w:p>
        </w:tc>
        <w:tc>
          <w:tcPr>
            <w:tcW w:w="1275" w:type="dxa"/>
            <w:tcBorders>
              <w:bottom w:val="single" w:sz="4" w:space="0" w:color="auto"/>
            </w:tcBorders>
            <w:shd w:val="clear" w:color="auto" w:fill="FFF6DD"/>
            <w:vAlign w:val="center"/>
          </w:tcPr>
          <w:p w14:paraId="1782CB61" w14:textId="77777777" w:rsidR="004B5C02" w:rsidRPr="00643648" w:rsidRDefault="004B5C02" w:rsidP="00E40B08">
            <w:pPr>
              <w:contextualSpacing/>
              <w:jc w:val="center"/>
              <w:rPr>
                <w:rFonts w:cs="Arial"/>
                <w:b/>
                <w:bCs/>
                <w:color w:val="000000"/>
                <w:sz w:val="21"/>
                <w:szCs w:val="21"/>
                <w:lang w:val="fr-ML"/>
              </w:rPr>
            </w:pPr>
          </w:p>
        </w:tc>
        <w:tc>
          <w:tcPr>
            <w:tcW w:w="5103" w:type="dxa"/>
            <w:tcBorders>
              <w:bottom w:val="single" w:sz="4" w:space="0" w:color="auto"/>
            </w:tcBorders>
            <w:vAlign w:val="center"/>
          </w:tcPr>
          <w:p w14:paraId="0FC10B01" w14:textId="77777777" w:rsidR="004B5C02" w:rsidRPr="00643648" w:rsidRDefault="004B5C02" w:rsidP="00E40B08">
            <w:pPr>
              <w:contextualSpacing/>
              <w:rPr>
                <w:rFonts w:cs="Arial"/>
                <w:bCs/>
                <w:color w:val="000000"/>
                <w:sz w:val="21"/>
                <w:szCs w:val="21"/>
                <w:u w:val="single"/>
                <w:lang w:val="fr-ML"/>
              </w:rPr>
            </w:pPr>
          </w:p>
        </w:tc>
      </w:tr>
      <w:tr w:rsidR="00BD474E" w:rsidRPr="00687A69" w14:paraId="225F26B9" w14:textId="77777777" w:rsidTr="00687A69">
        <w:trPr>
          <w:trHeight w:val="497"/>
          <w:jc w:val="center"/>
        </w:trPr>
        <w:tc>
          <w:tcPr>
            <w:tcW w:w="421" w:type="dxa"/>
            <w:shd w:val="clear" w:color="auto" w:fill="D9D9D9" w:themeFill="background1" w:themeFillShade="D9"/>
            <w:vAlign w:val="center"/>
          </w:tcPr>
          <w:p w14:paraId="6ED5AC40" w14:textId="77777777" w:rsidR="00BD474E" w:rsidRPr="00687A69" w:rsidRDefault="00FC5013" w:rsidP="00E40B08">
            <w:pPr>
              <w:spacing w:before="60" w:after="60"/>
              <w:contextualSpacing/>
              <w:jc w:val="center"/>
              <w:rPr>
                <w:rFonts w:cs="Arial"/>
                <w:bCs/>
                <w:color w:val="000000"/>
                <w:sz w:val="21"/>
                <w:szCs w:val="21"/>
              </w:rPr>
            </w:pPr>
            <w:r>
              <w:rPr>
                <w:bCs/>
                <w:color w:val="000000"/>
                <w:sz w:val="21"/>
                <w:szCs w:val="21"/>
              </w:rPr>
              <w:t>2</w:t>
            </w:r>
          </w:p>
        </w:tc>
        <w:tc>
          <w:tcPr>
            <w:tcW w:w="7938" w:type="dxa"/>
            <w:vAlign w:val="center"/>
          </w:tcPr>
          <w:p w14:paraId="163E079E" w14:textId="503BA06E" w:rsidR="00BD474E" w:rsidRPr="00687A69" w:rsidRDefault="00EA2E61" w:rsidP="00EA2E61">
            <w:pPr>
              <w:contextualSpacing/>
              <w:rPr>
                <w:rFonts w:cs="Arial"/>
                <w:bCs/>
                <w:color w:val="000000"/>
                <w:sz w:val="21"/>
                <w:szCs w:val="21"/>
              </w:rPr>
            </w:pPr>
            <w:r>
              <w:rPr>
                <w:bCs/>
                <w:color w:val="000000"/>
                <w:sz w:val="21"/>
                <w:szCs w:val="21"/>
              </w:rPr>
              <w:t xml:space="preserve">Afin de fournir le service demandé, le fournisseur certifie qu’il peut </w:t>
            </w:r>
            <w:r>
              <w:rPr>
                <w:b/>
                <w:bCs/>
                <w:color w:val="000000"/>
                <w:sz w:val="21"/>
                <w:szCs w:val="21"/>
              </w:rPr>
              <w:t>accepter la documentation de la personne relevant de sa compétence</w:t>
            </w:r>
            <w:r>
              <w:rPr>
                <w:bCs/>
                <w:color w:val="000000"/>
                <w:sz w:val="21"/>
                <w:szCs w:val="21"/>
              </w:rPr>
              <w:t xml:space="preserve">, comme détaillé dans l’Annexe A - </w:t>
            </w:r>
            <w:proofErr w:type="spellStart"/>
            <w:r>
              <w:rPr>
                <w:bCs/>
                <w:color w:val="000000"/>
                <w:sz w:val="21"/>
                <w:szCs w:val="21"/>
              </w:rPr>
              <w:t>TdR</w:t>
            </w:r>
            <w:proofErr w:type="spellEnd"/>
          </w:p>
        </w:tc>
        <w:tc>
          <w:tcPr>
            <w:tcW w:w="1275" w:type="dxa"/>
            <w:tcBorders>
              <w:bottom w:val="single" w:sz="4" w:space="0" w:color="auto"/>
            </w:tcBorders>
            <w:shd w:val="clear" w:color="auto" w:fill="FFF6DD"/>
            <w:vAlign w:val="center"/>
          </w:tcPr>
          <w:p w14:paraId="64B6EF52" w14:textId="77777777" w:rsidR="00BD474E" w:rsidRPr="00643648" w:rsidRDefault="00BD474E" w:rsidP="00E40B08">
            <w:pPr>
              <w:contextualSpacing/>
              <w:jc w:val="center"/>
              <w:rPr>
                <w:rFonts w:cs="Arial"/>
                <w:b/>
                <w:bCs/>
                <w:color w:val="000000"/>
                <w:sz w:val="21"/>
                <w:szCs w:val="21"/>
                <w:lang w:val="fr-ML"/>
              </w:rPr>
            </w:pPr>
          </w:p>
        </w:tc>
        <w:tc>
          <w:tcPr>
            <w:tcW w:w="5103" w:type="dxa"/>
            <w:tcBorders>
              <w:bottom w:val="single" w:sz="4" w:space="0" w:color="auto"/>
            </w:tcBorders>
            <w:vAlign w:val="center"/>
          </w:tcPr>
          <w:p w14:paraId="5907FC19" w14:textId="77777777" w:rsidR="00BD474E" w:rsidRPr="00643648" w:rsidRDefault="00BD474E" w:rsidP="00E40B08">
            <w:pPr>
              <w:contextualSpacing/>
              <w:rPr>
                <w:rFonts w:cs="Arial"/>
                <w:bCs/>
                <w:color w:val="000000"/>
                <w:sz w:val="21"/>
                <w:szCs w:val="21"/>
                <w:u w:val="single"/>
                <w:lang w:val="fr-ML"/>
              </w:rPr>
            </w:pPr>
          </w:p>
        </w:tc>
      </w:tr>
      <w:tr w:rsidR="000077A1" w:rsidRPr="00687A69" w14:paraId="5C8CB93E" w14:textId="77777777" w:rsidTr="00687A69">
        <w:trPr>
          <w:trHeight w:val="419"/>
          <w:jc w:val="center"/>
        </w:trPr>
        <w:tc>
          <w:tcPr>
            <w:tcW w:w="421" w:type="dxa"/>
            <w:shd w:val="clear" w:color="auto" w:fill="D9D9D9" w:themeFill="background1" w:themeFillShade="D9"/>
            <w:vAlign w:val="center"/>
          </w:tcPr>
          <w:p w14:paraId="375D404E" w14:textId="77777777" w:rsidR="000077A1" w:rsidRPr="00687A69" w:rsidRDefault="00FC5013" w:rsidP="00E40B08">
            <w:pPr>
              <w:spacing w:before="60" w:after="60"/>
              <w:contextualSpacing/>
              <w:jc w:val="center"/>
              <w:rPr>
                <w:rFonts w:cs="Arial"/>
                <w:bCs/>
                <w:color w:val="000000"/>
                <w:sz w:val="21"/>
                <w:szCs w:val="21"/>
              </w:rPr>
            </w:pPr>
            <w:r>
              <w:rPr>
                <w:bCs/>
                <w:color w:val="000000"/>
                <w:sz w:val="21"/>
                <w:szCs w:val="21"/>
              </w:rPr>
              <w:t>3</w:t>
            </w:r>
          </w:p>
        </w:tc>
        <w:tc>
          <w:tcPr>
            <w:tcW w:w="7938" w:type="dxa"/>
            <w:vAlign w:val="center"/>
          </w:tcPr>
          <w:p w14:paraId="0F78B38D" w14:textId="77777777" w:rsidR="000077A1" w:rsidRPr="00687A69" w:rsidRDefault="00C57FFB" w:rsidP="00E40B08">
            <w:pPr>
              <w:spacing w:before="60" w:after="60"/>
              <w:contextualSpacing/>
              <w:rPr>
                <w:rFonts w:cs="Arial"/>
                <w:bCs/>
                <w:color w:val="000000"/>
                <w:sz w:val="21"/>
                <w:szCs w:val="21"/>
              </w:rPr>
            </w:pPr>
            <w:r>
              <w:rPr>
                <w:color w:val="000000"/>
                <w:sz w:val="21"/>
                <w:szCs w:val="21"/>
              </w:rPr>
              <w:t xml:space="preserve">Le fournisseur certifie la conformité avec les normes industrielles et réglementaires, lors de </w:t>
            </w:r>
            <w:r>
              <w:rPr>
                <w:b/>
                <w:color w:val="000000"/>
                <w:sz w:val="21"/>
                <w:szCs w:val="21"/>
              </w:rPr>
              <w:t>toutes les étapes du transfert et du déboursement de fonds</w:t>
            </w:r>
            <w:r>
              <w:rPr>
                <w:color w:val="000000"/>
                <w:sz w:val="21"/>
                <w:szCs w:val="21"/>
              </w:rPr>
              <w:t>.</w:t>
            </w:r>
          </w:p>
        </w:tc>
        <w:tc>
          <w:tcPr>
            <w:tcW w:w="1275" w:type="dxa"/>
            <w:tcBorders>
              <w:bottom w:val="single" w:sz="4" w:space="0" w:color="auto"/>
            </w:tcBorders>
            <w:shd w:val="clear" w:color="auto" w:fill="FFF6DD"/>
            <w:vAlign w:val="center"/>
          </w:tcPr>
          <w:p w14:paraId="248CD914" w14:textId="77777777" w:rsidR="000077A1" w:rsidRPr="00643648" w:rsidRDefault="000077A1" w:rsidP="00E40B08">
            <w:pPr>
              <w:contextualSpacing/>
              <w:jc w:val="center"/>
              <w:rPr>
                <w:rFonts w:cs="Arial"/>
                <w:b/>
                <w:bCs/>
                <w:color w:val="000000"/>
                <w:sz w:val="21"/>
                <w:szCs w:val="21"/>
                <w:lang w:val="fr-ML"/>
              </w:rPr>
            </w:pPr>
          </w:p>
        </w:tc>
        <w:tc>
          <w:tcPr>
            <w:tcW w:w="5103" w:type="dxa"/>
            <w:tcBorders>
              <w:bottom w:val="single" w:sz="4" w:space="0" w:color="auto"/>
            </w:tcBorders>
            <w:vAlign w:val="center"/>
          </w:tcPr>
          <w:p w14:paraId="4A70983A" w14:textId="77777777" w:rsidR="000077A1" w:rsidRPr="00643648" w:rsidRDefault="000077A1" w:rsidP="00E40B08">
            <w:pPr>
              <w:contextualSpacing/>
              <w:rPr>
                <w:rFonts w:cs="Arial"/>
                <w:bCs/>
                <w:color w:val="000000"/>
                <w:sz w:val="21"/>
                <w:szCs w:val="21"/>
                <w:u w:val="single"/>
                <w:lang w:val="fr-ML"/>
              </w:rPr>
            </w:pPr>
          </w:p>
        </w:tc>
      </w:tr>
      <w:tr w:rsidR="00426679" w:rsidRPr="00687A69" w14:paraId="12A5CBC9" w14:textId="77777777" w:rsidTr="00687A69">
        <w:trPr>
          <w:trHeight w:val="484"/>
          <w:jc w:val="center"/>
        </w:trPr>
        <w:tc>
          <w:tcPr>
            <w:tcW w:w="421" w:type="dxa"/>
            <w:shd w:val="clear" w:color="auto" w:fill="D9D9D9" w:themeFill="background1" w:themeFillShade="D9"/>
            <w:vAlign w:val="center"/>
          </w:tcPr>
          <w:p w14:paraId="1DAB6700" w14:textId="77777777" w:rsidR="00426679" w:rsidRPr="00687A69" w:rsidRDefault="00FC5013" w:rsidP="00E40B08">
            <w:pPr>
              <w:spacing w:before="60" w:after="60"/>
              <w:contextualSpacing/>
              <w:jc w:val="center"/>
              <w:rPr>
                <w:rFonts w:cs="Arial"/>
                <w:bCs/>
                <w:color w:val="000000"/>
                <w:sz w:val="21"/>
                <w:szCs w:val="21"/>
              </w:rPr>
            </w:pPr>
            <w:r>
              <w:rPr>
                <w:bCs/>
                <w:color w:val="000000"/>
                <w:sz w:val="21"/>
                <w:szCs w:val="21"/>
              </w:rPr>
              <w:t>4</w:t>
            </w:r>
          </w:p>
        </w:tc>
        <w:tc>
          <w:tcPr>
            <w:tcW w:w="7938" w:type="dxa"/>
            <w:vAlign w:val="center"/>
          </w:tcPr>
          <w:p w14:paraId="539B3EEB" w14:textId="7EB2A3AE" w:rsidR="00426679" w:rsidRPr="00687A69" w:rsidRDefault="00C57FFB" w:rsidP="00E40B08">
            <w:pPr>
              <w:spacing w:before="60" w:after="60"/>
              <w:contextualSpacing/>
              <w:rPr>
                <w:rFonts w:cs="Arial"/>
                <w:bCs/>
                <w:color w:val="000000"/>
                <w:sz w:val="21"/>
                <w:szCs w:val="21"/>
              </w:rPr>
            </w:pPr>
            <w:r>
              <w:rPr>
                <w:color w:val="000000"/>
                <w:sz w:val="21"/>
                <w:szCs w:val="21"/>
              </w:rPr>
              <w:t xml:space="preserve">Le fournisseur certifie la conformité avec les normes industrielles et réglementaires relatives à la </w:t>
            </w:r>
            <w:r>
              <w:rPr>
                <w:b/>
                <w:color w:val="000000"/>
                <w:sz w:val="21"/>
                <w:szCs w:val="21"/>
              </w:rPr>
              <w:t>sécurité des données financières</w:t>
            </w:r>
            <w:r>
              <w:rPr>
                <w:color w:val="000000"/>
                <w:sz w:val="21"/>
                <w:szCs w:val="21"/>
              </w:rPr>
              <w:t>.</w:t>
            </w:r>
          </w:p>
        </w:tc>
        <w:tc>
          <w:tcPr>
            <w:tcW w:w="1275" w:type="dxa"/>
            <w:tcBorders>
              <w:bottom w:val="single" w:sz="4" w:space="0" w:color="auto"/>
            </w:tcBorders>
            <w:shd w:val="clear" w:color="auto" w:fill="FFF6DD"/>
            <w:vAlign w:val="center"/>
          </w:tcPr>
          <w:p w14:paraId="05C9A7FF" w14:textId="77777777" w:rsidR="00426679" w:rsidRPr="00643648" w:rsidRDefault="00426679" w:rsidP="00E40B08">
            <w:pPr>
              <w:contextualSpacing/>
              <w:jc w:val="center"/>
              <w:rPr>
                <w:rFonts w:cs="Arial"/>
                <w:b/>
                <w:bCs/>
                <w:color w:val="000000"/>
                <w:sz w:val="21"/>
                <w:szCs w:val="21"/>
                <w:lang w:val="fr-ML"/>
              </w:rPr>
            </w:pPr>
          </w:p>
        </w:tc>
        <w:tc>
          <w:tcPr>
            <w:tcW w:w="5103" w:type="dxa"/>
            <w:tcBorders>
              <w:bottom w:val="single" w:sz="4" w:space="0" w:color="auto"/>
            </w:tcBorders>
            <w:vAlign w:val="center"/>
          </w:tcPr>
          <w:p w14:paraId="243EA752" w14:textId="77777777" w:rsidR="00426679" w:rsidRPr="00643648" w:rsidRDefault="00426679" w:rsidP="00E40B08">
            <w:pPr>
              <w:contextualSpacing/>
              <w:rPr>
                <w:rFonts w:cs="Arial"/>
                <w:bCs/>
                <w:color w:val="000000"/>
                <w:sz w:val="21"/>
                <w:szCs w:val="21"/>
                <w:u w:val="single"/>
                <w:lang w:val="fr-ML"/>
              </w:rPr>
            </w:pPr>
          </w:p>
        </w:tc>
      </w:tr>
      <w:tr w:rsidR="00426679" w:rsidRPr="00687A69" w14:paraId="6620F780" w14:textId="77777777" w:rsidTr="00687A69">
        <w:trPr>
          <w:trHeight w:val="529"/>
          <w:jc w:val="center"/>
        </w:trPr>
        <w:tc>
          <w:tcPr>
            <w:tcW w:w="421" w:type="dxa"/>
            <w:shd w:val="clear" w:color="auto" w:fill="D9D9D9" w:themeFill="background1" w:themeFillShade="D9"/>
            <w:vAlign w:val="center"/>
          </w:tcPr>
          <w:p w14:paraId="7D878D12" w14:textId="77777777" w:rsidR="00426679" w:rsidRPr="00687A69" w:rsidRDefault="00FC5013" w:rsidP="00E40B08">
            <w:pPr>
              <w:spacing w:before="60" w:after="60"/>
              <w:contextualSpacing/>
              <w:jc w:val="center"/>
              <w:rPr>
                <w:rFonts w:cs="Arial"/>
                <w:bCs/>
                <w:color w:val="000000"/>
                <w:sz w:val="21"/>
                <w:szCs w:val="21"/>
              </w:rPr>
            </w:pPr>
            <w:r>
              <w:rPr>
                <w:bCs/>
                <w:color w:val="000000"/>
                <w:sz w:val="21"/>
                <w:szCs w:val="21"/>
              </w:rPr>
              <w:t>5</w:t>
            </w:r>
          </w:p>
        </w:tc>
        <w:tc>
          <w:tcPr>
            <w:tcW w:w="7938" w:type="dxa"/>
            <w:vAlign w:val="center"/>
          </w:tcPr>
          <w:p w14:paraId="543BEE70" w14:textId="77777777" w:rsidR="00D03105" w:rsidRPr="00687A69" w:rsidRDefault="00C57FFB" w:rsidP="00E40B08">
            <w:pPr>
              <w:spacing w:before="60" w:after="60"/>
              <w:contextualSpacing/>
              <w:rPr>
                <w:rFonts w:cs="Arial"/>
                <w:b/>
                <w:bCs/>
                <w:color w:val="000000"/>
                <w:sz w:val="21"/>
                <w:szCs w:val="21"/>
              </w:rPr>
            </w:pPr>
            <w:r>
              <w:rPr>
                <w:color w:val="000000"/>
                <w:sz w:val="21"/>
                <w:szCs w:val="21"/>
              </w:rPr>
              <w:t xml:space="preserve">Le fournisseur certifie la conformité avec les normes industrielles et réglementaires relatives aux </w:t>
            </w:r>
            <w:r>
              <w:rPr>
                <w:b/>
                <w:color w:val="000000"/>
                <w:sz w:val="21"/>
                <w:szCs w:val="21"/>
              </w:rPr>
              <w:t>lois contre le blanchiment d’argent et le terrorisme et aux sanctions internationales</w:t>
            </w:r>
            <w:r>
              <w:rPr>
                <w:color w:val="000000"/>
                <w:sz w:val="21"/>
                <w:szCs w:val="21"/>
              </w:rPr>
              <w:t>.</w:t>
            </w:r>
          </w:p>
        </w:tc>
        <w:tc>
          <w:tcPr>
            <w:tcW w:w="1275" w:type="dxa"/>
            <w:tcBorders>
              <w:bottom w:val="single" w:sz="4" w:space="0" w:color="auto"/>
            </w:tcBorders>
            <w:shd w:val="clear" w:color="auto" w:fill="FFF6DD"/>
            <w:vAlign w:val="center"/>
          </w:tcPr>
          <w:p w14:paraId="1A37251E" w14:textId="77777777" w:rsidR="00426679" w:rsidRPr="00643648" w:rsidRDefault="00426679" w:rsidP="00E40B08">
            <w:pPr>
              <w:contextualSpacing/>
              <w:jc w:val="center"/>
              <w:rPr>
                <w:rFonts w:cs="Arial"/>
                <w:b/>
                <w:bCs/>
                <w:color w:val="000000"/>
                <w:sz w:val="21"/>
                <w:szCs w:val="21"/>
                <w:lang w:val="fr-ML"/>
              </w:rPr>
            </w:pPr>
          </w:p>
        </w:tc>
        <w:tc>
          <w:tcPr>
            <w:tcW w:w="5103" w:type="dxa"/>
            <w:tcBorders>
              <w:bottom w:val="single" w:sz="4" w:space="0" w:color="auto"/>
            </w:tcBorders>
            <w:vAlign w:val="center"/>
          </w:tcPr>
          <w:p w14:paraId="5097AEFD" w14:textId="77777777" w:rsidR="00426679" w:rsidRPr="00643648" w:rsidRDefault="00426679" w:rsidP="00E40B08">
            <w:pPr>
              <w:contextualSpacing/>
              <w:rPr>
                <w:rFonts w:cs="Arial"/>
                <w:bCs/>
                <w:color w:val="000000"/>
                <w:sz w:val="21"/>
                <w:szCs w:val="21"/>
                <w:u w:val="single"/>
                <w:lang w:val="fr-ML"/>
              </w:rPr>
            </w:pPr>
          </w:p>
        </w:tc>
      </w:tr>
      <w:tr w:rsidR="003E5B0B" w:rsidRPr="00687A69" w14:paraId="67099859" w14:textId="77777777" w:rsidTr="00687A69">
        <w:trPr>
          <w:trHeight w:val="529"/>
          <w:jc w:val="center"/>
        </w:trPr>
        <w:tc>
          <w:tcPr>
            <w:tcW w:w="421" w:type="dxa"/>
            <w:shd w:val="clear" w:color="auto" w:fill="D9D9D9" w:themeFill="background1" w:themeFillShade="D9"/>
            <w:vAlign w:val="center"/>
          </w:tcPr>
          <w:p w14:paraId="35D7B012" w14:textId="76268F21" w:rsidR="003E5B0B" w:rsidRPr="00687A69" w:rsidRDefault="003E5B0B" w:rsidP="00E40B08">
            <w:pPr>
              <w:spacing w:before="60" w:after="60"/>
              <w:contextualSpacing/>
              <w:jc w:val="center"/>
              <w:rPr>
                <w:rFonts w:cs="Arial"/>
                <w:bCs/>
                <w:color w:val="000000"/>
                <w:sz w:val="21"/>
                <w:szCs w:val="21"/>
              </w:rPr>
            </w:pPr>
            <w:r>
              <w:rPr>
                <w:bCs/>
                <w:color w:val="000000"/>
                <w:sz w:val="21"/>
                <w:szCs w:val="21"/>
              </w:rPr>
              <w:t>6</w:t>
            </w:r>
          </w:p>
        </w:tc>
        <w:tc>
          <w:tcPr>
            <w:tcW w:w="7938" w:type="dxa"/>
            <w:vAlign w:val="center"/>
          </w:tcPr>
          <w:p w14:paraId="2E8A7317" w14:textId="41E3F27C" w:rsidR="003E5B0B" w:rsidRPr="00687A69" w:rsidRDefault="003E5B0B" w:rsidP="00687A69">
            <w:pPr>
              <w:rPr>
                <w:color w:val="000000"/>
                <w:sz w:val="21"/>
                <w:szCs w:val="21"/>
              </w:rPr>
            </w:pPr>
            <w:r>
              <w:rPr>
                <w:sz w:val="21"/>
                <w:szCs w:val="21"/>
              </w:rPr>
              <w:t xml:space="preserve">Le fournisseur certifie que, conformément au </w:t>
            </w:r>
            <w:r>
              <w:rPr>
                <w:b/>
                <w:bCs/>
                <w:sz w:val="21"/>
                <w:szCs w:val="21"/>
              </w:rPr>
              <w:t>paragraphe 11 du Code de conduite du fournisseur</w:t>
            </w:r>
            <w:r>
              <w:rPr>
                <w:sz w:val="21"/>
                <w:szCs w:val="21"/>
              </w:rPr>
              <w:t xml:space="preserve"> (Annexe G), il s’engage en particulier à ne pas exercer de </w:t>
            </w:r>
            <w:r>
              <w:rPr>
                <w:b/>
                <w:bCs/>
                <w:sz w:val="21"/>
                <w:szCs w:val="21"/>
              </w:rPr>
              <w:t>«</w:t>
            </w:r>
            <w:r w:rsidR="00694926">
              <w:rPr>
                <w:b/>
                <w:bCs/>
                <w:sz w:val="21"/>
                <w:szCs w:val="21"/>
              </w:rPr>
              <w:t> </w:t>
            </w:r>
            <w:r>
              <w:rPr>
                <w:b/>
                <w:bCs/>
                <w:sz w:val="21"/>
                <w:szCs w:val="21"/>
              </w:rPr>
              <w:t>harcèlement, traitement abusif ou inhumain</w:t>
            </w:r>
            <w:r w:rsidR="00694926">
              <w:rPr>
                <w:b/>
                <w:bCs/>
                <w:sz w:val="21"/>
                <w:szCs w:val="21"/>
              </w:rPr>
              <w:t> </w:t>
            </w:r>
            <w:r>
              <w:rPr>
                <w:b/>
                <w:bCs/>
                <w:sz w:val="21"/>
                <w:szCs w:val="21"/>
              </w:rPr>
              <w:t>»</w:t>
            </w:r>
            <w:r>
              <w:rPr>
                <w:sz w:val="21"/>
                <w:szCs w:val="21"/>
              </w:rPr>
              <w:t xml:space="preserve"> sur son personnel ou sur les </w:t>
            </w:r>
            <w:r>
              <w:rPr>
                <w:b/>
                <w:bCs/>
                <w:sz w:val="21"/>
                <w:szCs w:val="21"/>
              </w:rPr>
              <w:t>personnes relevant de sa compétence</w:t>
            </w:r>
            <w:r>
              <w:rPr>
                <w:sz w:val="21"/>
                <w:szCs w:val="21"/>
              </w:rPr>
              <w:t xml:space="preserve"> qui entrent en contact avec les fournisseurs en tant que clients/destinataires de leurs services.</w:t>
            </w:r>
          </w:p>
        </w:tc>
        <w:tc>
          <w:tcPr>
            <w:tcW w:w="1275" w:type="dxa"/>
            <w:tcBorders>
              <w:bottom w:val="single" w:sz="4" w:space="0" w:color="auto"/>
            </w:tcBorders>
            <w:shd w:val="clear" w:color="auto" w:fill="FFF6DD"/>
            <w:vAlign w:val="center"/>
          </w:tcPr>
          <w:p w14:paraId="106DF6F3" w14:textId="77777777" w:rsidR="003E5B0B" w:rsidRPr="00643648" w:rsidRDefault="003E5B0B" w:rsidP="00E40B08">
            <w:pPr>
              <w:contextualSpacing/>
              <w:jc w:val="center"/>
              <w:rPr>
                <w:rFonts w:cs="Arial"/>
                <w:b/>
                <w:bCs/>
                <w:color w:val="000000"/>
                <w:sz w:val="21"/>
                <w:szCs w:val="21"/>
                <w:lang w:val="fr-ML"/>
              </w:rPr>
            </w:pPr>
          </w:p>
        </w:tc>
        <w:tc>
          <w:tcPr>
            <w:tcW w:w="5103" w:type="dxa"/>
            <w:tcBorders>
              <w:bottom w:val="single" w:sz="4" w:space="0" w:color="auto"/>
            </w:tcBorders>
            <w:vAlign w:val="center"/>
          </w:tcPr>
          <w:p w14:paraId="65A78797" w14:textId="77777777" w:rsidR="003E5B0B" w:rsidRPr="00643648" w:rsidRDefault="003E5B0B" w:rsidP="00E40B08">
            <w:pPr>
              <w:contextualSpacing/>
              <w:rPr>
                <w:rFonts w:cs="Arial"/>
                <w:bCs/>
                <w:color w:val="000000"/>
                <w:sz w:val="21"/>
                <w:szCs w:val="21"/>
                <w:u w:val="single"/>
                <w:lang w:val="fr-ML"/>
              </w:rPr>
            </w:pPr>
          </w:p>
        </w:tc>
      </w:tr>
      <w:tr w:rsidR="000077A1" w:rsidRPr="00687A69" w14:paraId="16E33761" w14:textId="77777777" w:rsidTr="00687A69">
        <w:trPr>
          <w:trHeight w:val="299"/>
          <w:jc w:val="center"/>
        </w:trPr>
        <w:tc>
          <w:tcPr>
            <w:tcW w:w="8359" w:type="dxa"/>
            <w:gridSpan w:val="2"/>
            <w:shd w:val="clear" w:color="auto" w:fill="DEEAF6" w:themeFill="accent1" w:themeFillTint="33"/>
            <w:vAlign w:val="center"/>
          </w:tcPr>
          <w:p w14:paraId="19C3D04E" w14:textId="065809EE" w:rsidR="00E40B08" w:rsidRPr="00687A69" w:rsidRDefault="000077A1" w:rsidP="00B15F02">
            <w:pPr>
              <w:spacing w:before="60" w:after="60"/>
              <w:contextualSpacing/>
              <w:jc w:val="center"/>
              <w:rPr>
                <w:rFonts w:cs="Arial"/>
                <w:b/>
                <w:sz w:val="21"/>
                <w:szCs w:val="21"/>
              </w:rPr>
            </w:pPr>
            <w:r>
              <w:rPr>
                <w:b/>
                <w:sz w:val="21"/>
                <w:szCs w:val="21"/>
              </w:rPr>
              <w:t xml:space="preserve">Documents </w:t>
            </w:r>
            <w:r>
              <w:rPr>
                <w:b/>
                <w:sz w:val="21"/>
                <w:szCs w:val="21"/>
                <w:u w:val="single"/>
              </w:rPr>
              <w:t>recommandés</w:t>
            </w:r>
            <w:r>
              <w:rPr>
                <w:b/>
                <w:sz w:val="21"/>
                <w:szCs w:val="21"/>
              </w:rPr>
              <w:t xml:space="preserve"> </w:t>
            </w:r>
            <w:r>
              <w:rPr>
                <w:b/>
                <w:color w:val="1F3864" w:themeColor="accent5" w:themeShade="80"/>
                <w:sz w:val="21"/>
                <w:szCs w:val="21"/>
              </w:rPr>
              <w:t>(</w:t>
            </w:r>
            <w:r>
              <w:rPr>
                <w:b/>
                <w:color w:val="1F3864" w:themeColor="accent5" w:themeShade="80"/>
                <w:sz w:val="21"/>
                <w:szCs w:val="21"/>
                <w:u w:val="single"/>
              </w:rPr>
              <w:t>pas d’évaluation</w:t>
            </w:r>
            <w:r>
              <w:rPr>
                <w:b/>
                <w:color w:val="1F3864" w:themeColor="accent5" w:themeShade="80"/>
                <w:sz w:val="21"/>
                <w:szCs w:val="21"/>
              </w:rPr>
              <w:t>)</w:t>
            </w:r>
          </w:p>
        </w:tc>
        <w:tc>
          <w:tcPr>
            <w:tcW w:w="1275" w:type="dxa"/>
            <w:tcBorders>
              <w:bottom w:val="single" w:sz="4" w:space="0" w:color="auto"/>
            </w:tcBorders>
            <w:shd w:val="clear" w:color="auto" w:fill="DEEAF6" w:themeFill="accent1" w:themeFillTint="33"/>
            <w:vAlign w:val="center"/>
          </w:tcPr>
          <w:p w14:paraId="081AFBE8" w14:textId="77777777" w:rsidR="000077A1" w:rsidRPr="00687A69" w:rsidRDefault="000077A1" w:rsidP="00E40B08">
            <w:pPr>
              <w:contextualSpacing/>
              <w:jc w:val="center"/>
              <w:rPr>
                <w:rFonts w:cs="Arial"/>
                <w:b/>
                <w:color w:val="000000"/>
                <w:sz w:val="21"/>
                <w:szCs w:val="21"/>
              </w:rPr>
            </w:pPr>
            <w:r>
              <w:rPr>
                <w:b/>
                <w:color w:val="000000"/>
                <w:sz w:val="21"/>
                <w:szCs w:val="21"/>
              </w:rPr>
              <w:t>Soumis (oui/non)</w:t>
            </w:r>
          </w:p>
        </w:tc>
        <w:tc>
          <w:tcPr>
            <w:tcW w:w="5103" w:type="dxa"/>
            <w:shd w:val="clear" w:color="auto" w:fill="DEEAF6" w:themeFill="accent1" w:themeFillTint="33"/>
            <w:vAlign w:val="center"/>
          </w:tcPr>
          <w:p w14:paraId="0E3EB645" w14:textId="77777777" w:rsidR="000077A1" w:rsidRPr="00687A69" w:rsidRDefault="000077A1" w:rsidP="00E40B08">
            <w:pPr>
              <w:contextualSpacing/>
              <w:jc w:val="center"/>
              <w:rPr>
                <w:rFonts w:cs="Arial"/>
                <w:b/>
                <w:color w:val="000000"/>
                <w:sz w:val="21"/>
                <w:szCs w:val="21"/>
              </w:rPr>
            </w:pPr>
            <w:r>
              <w:rPr>
                <w:b/>
                <w:color w:val="000000"/>
                <w:sz w:val="21"/>
                <w:szCs w:val="21"/>
              </w:rPr>
              <w:t>Commentaires</w:t>
            </w:r>
          </w:p>
        </w:tc>
      </w:tr>
      <w:tr w:rsidR="00434B4D" w:rsidRPr="00687A69" w14:paraId="3800512A" w14:textId="77777777" w:rsidTr="00687A69">
        <w:trPr>
          <w:trHeight w:val="631"/>
          <w:jc w:val="center"/>
        </w:trPr>
        <w:tc>
          <w:tcPr>
            <w:tcW w:w="421" w:type="dxa"/>
            <w:shd w:val="clear" w:color="auto" w:fill="D9D9D9" w:themeFill="background1" w:themeFillShade="D9"/>
            <w:vAlign w:val="center"/>
          </w:tcPr>
          <w:p w14:paraId="25D05490" w14:textId="77777777" w:rsidR="00434B4D" w:rsidRPr="00687A69" w:rsidRDefault="00434B4D" w:rsidP="00E40B08">
            <w:pPr>
              <w:spacing w:before="60" w:after="60"/>
              <w:contextualSpacing/>
              <w:jc w:val="center"/>
              <w:rPr>
                <w:rFonts w:cs="Arial"/>
                <w:sz w:val="21"/>
                <w:szCs w:val="21"/>
              </w:rPr>
            </w:pPr>
            <w:r>
              <w:rPr>
                <w:sz w:val="21"/>
                <w:szCs w:val="21"/>
              </w:rPr>
              <w:t>1</w:t>
            </w:r>
          </w:p>
        </w:tc>
        <w:tc>
          <w:tcPr>
            <w:tcW w:w="7938" w:type="dxa"/>
            <w:vAlign w:val="center"/>
          </w:tcPr>
          <w:p w14:paraId="4448E75D" w14:textId="77777777" w:rsidR="00434B4D" w:rsidRPr="00687A69" w:rsidRDefault="00E41261" w:rsidP="00E40B08">
            <w:pPr>
              <w:contextualSpacing/>
              <w:rPr>
                <w:rFonts w:cs="Arial"/>
                <w:color w:val="000000"/>
                <w:sz w:val="21"/>
                <w:szCs w:val="21"/>
              </w:rPr>
            </w:pPr>
            <w:r>
              <w:rPr>
                <w:color w:val="000000"/>
                <w:sz w:val="21"/>
                <w:szCs w:val="21"/>
              </w:rPr>
              <w:t xml:space="preserve">Documents décrivant </w:t>
            </w:r>
            <w:r>
              <w:rPr>
                <w:b/>
                <w:color w:val="000000"/>
                <w:sz w:val="21"/>
                <w:szCs w:val="21"/>
              </w:rPr>
              <w:t>le mécanisme d’exécution proposé en matière d’argent, le système de gestion des ordres d’achat et de vente associés et les compétences du service client</w:t>
            </w:r>
            <w:r>
              <w:rPr>
                <w:color w:val="000000"/>
                <w:sz w:val="21"/>
                <w:szCs w:val="21"/>
              </w:rPr>
              <w:t>.</w:t>
            </w:r>
          </w:p>
        </w:tc>
        <w:tc>
          <w:tcPr>
            <w:tcW w:w="1275" w:type="dxa"/>
            <w:shd w:val="clear" w:color="auto" w:fill="FFF6DD"/>
            <w:vAlign w:val="center"/>
          </w:tcPr>
          <w:p w14:paraId="3BE0A677" w14:textId="77777777" w:rsidR="00434B4D" w:rsidRPr="00643648" w:rsidRDefault="00434B4D" w:rsidP="00E40B08">
            <w:pPr>
              <w:contextualSpacing/>
              <w:jc w:val="center"/>
              <w:rPr>
                <w:rFonts w:cs="Arial"/>
                <w:b/>
                <w:bCs/>
                <w:color w:val="000000"/>
                <w:sz w:val="21"/>
                <w:szCs w:val="21"/>
                <w:lang w:val="fr-ML"/>
              </w:rPr>
            </w:pPr>
          </w:p>
        </w:tc>
        <w:tc>
          <w:tcPr>
            <w:tcW w:w="5103" w:type="dxa"/>
            <w:vAlign w:val="center"/>
          </w:tcPr>
          <w:p w14:paraId="345EE83E" w14:textId="77777777" w:rsidR="00434B4D" w:rsidRPr="00643648" w:rsidRDefault="00434B4D" w:rsidP="00E40B08">
            <w:pPr>
              <w:contextualSpacing/>
              <w:rPr>
                <w:rFonts w:cs="Arial"/>
                <w:bCs/>
                <w:color w:val="000000"/>
                <w:sz w:val="21"/>
                <w:szCs w:val="21"/>
                <w:u w:val="single"/>
                <w:lang w:val="fr-ML"/>
              </w:rPr>
            </w:pPr>
          </w:p>
        </w:tc>
      </w:tr>
      <w:tr w:rsidR="00E41261" w:rsidRPr="00687A69" w14:paraId="7D1687D8" w14:textId="77777777" w:rsidTr="00687A69">
        <w:trPr>
          <w:trHeight w:val="367"/>
          <w:jc w:val="center"/>
        </w:trPr>
        <w:tc>
          <w:tcPr>
            <w:tcW w:w="421" w:type="dxa"/>
            <w:shd w:val="clear" w:color="auto" w:fill="D9D9D9" w:themeFill="background1" w:themeFillShade="D9"/>
            <w:vAlign w:val="center"/>
          </w:tcPr>
          <w:p w14:paraId="7F368C66" w14:textId="77777777" w:rsidR="00E41261" w:rsidRPr="00687A69" w:rsidRDefault="00E41261" w:rsidP="00E40B08">
            <w:pPr>
              <w:spacing w:before="60" w:after="60"/>
              <w:contextualSpacing/>
              <w:jc w:val="center"/>
              <w:rPr>
                <w:rFonts w:cs="Arial"/>
                <w:sz w:val="21"/>
                <w:szCs w:val="21"/>
              </w:rPr>
            </w:pPr>
            <w:r>
              <w:rPr>
                <w:sz w:val="21"/>
                <w:szCs w:val="21"/>
              </w:rPr>
              <w:t>2</w:t>
            </w:r>
          </w:p>
        </w:tc>
        <w:tc>
          <w:tcPr>
            <w:tcW w:w="7938" w:type="dxa"/>
            <w:vAlign w:val="center"/>
          </w:tcPr>
          <w:p w14:paraId="6AB52495" w14:textId="77777777" w:rsidR="00E41261" w:rsidRPr="00687A69" w:rsidRDefault="00085E89" w:rsidP="00E40B08">
            <w:pPr>
              <w:contextualSpacing/>
              <w:rPr>
                <w:rFonts w:cs="Arial"/>
                <w:b/>
                <w:color w:val="000000"/>
                <w:sz w:val="21"/>
                <w:szCs w:val="21"/>
              </w:rPr>
            </w:pPr>
            <w:r>
              <w:rPr>
                <w:sz w:val="21"/>
                <w:szCs w:val="21"/>
              </w:rPr>
              <w:t xml:space="preserve">Documents relatifs à la </w:t>
            </w:r>
            <w:r>
              <w:rPr>
                <w:b/>
                <w:bCs/>
                <w:sz w:val="21"/>
                <w:szCs w:val="21"/>
              </w:rPr>
              <w:t>gestion intégrée des risques et aux mesures de sécurité antifraude</w:t>
            </w:r>
            <w:r>
              <w:rPr>
                <w:sz w:val="21"/>
                <w:szCs w:val="21"/>
              </w:rPr>
              <w:t xml:space="preserve"> de la société, </w:t>
            </w:r>
            <w:r>
              <w:rPr>
                <w:bCs/>
                <w:color w:val="000000"/>
                <w:sz w:val="21"/>
                <w:szCs w:val="21"/>
              </w:rPr>
              <w:t>y compris</w:t>
            </w:r>
            <w:r>
              <w:rPr>
                <w:sz w:val="21"/>
                <w:szCs w:val="21"/>
              </w:rPr>
              <w:t xml:space="preserve"> les derniers documents en date relatifs aux examens associés.</w:t>
            </w:r>
          </w:p>
        </w:tc>
        <w:tc>
          <w:tcPr>
            <w:tcW w:w="1275" w:type="dxa"/>
            <w:shd w:val="clear" w:color="auto" w:fill="FFF6DD"/>
            <w:vAlign w:val="center"/>
          </w:tcPr>
          <w:p w14:paraId="424947F6" w14:textId="77777777" w:rsidR="00E41261" w:rsidRPr="00643648" w:rsidRDefault="00E41261" w:rsidP="00E40B08">
            <w:pPr>
              <w:contextualSpacing/>
              <w:jc w:val="center"/>
              <w:rPr>
                <w:rFonts w:cs="Arial"/>
                <w:b/>
                <w:bCs/>
                <w:color w:val="000000"/>
                <w:sz w:val="21"/>
                <w:szCs w:val="21"/>
                <w:lang w:val="fr-ML"/>
              </w:rPr>
            </w:pPr>
          </w:p>
        </w:tc>
        <w:tc>
          <w:tcPr>
            <w:tcW w:w="5103" w:type="dxa"/>
            <w:vAlign w:val="center"/>
          </w:tcPr>
          <w:p w14:paraId="105A8E6C" w14:textId="77777777" w:rsidR="00E41261" w:rsidRPr="00643648" w:rsidRDefault="00E41261" w:rsidP="00E40B08">
            <w:pPr>
              <w:contextualSpacing/>
              <w:rPr>
                <w:rFonts w:cs="Arial"/>
                <w:bCs/>
                <w:color w:val="000000"/>
                <w:sz w:val="21"/>
                <w:szCs w:val="21"/>
                <w:u w:val="single"/>
                <w:lang w:val="fr-ML"/>
              </w:rPr>
            </w:pPr>
          </w:p>
        </w:tc>
      </w:tr>
      <w:tr w:rsidR="00434B4D" w:rsidRPr="00687A69" w14:paraId="0E3428AD" w14:textId="77777777" w:rsidTr="00687A69">
        <w:trPr>
          <w:trHeight w:val="397"/>
          <w:jc w:val="center"/>
        </w:trPr>
        <w:tc>
          <w:tcPr>
            <w:tcW w:w="421" w:type="dxa"/>
            <w:shd w:val="clear" w:color="auto" w:fill="D9D9D9" w:themeFill="background1" w:themeFillShade="D9"/>
            <w:vAlign w:val="center"/>
          </w:tcPr>
          <w:p w14:paraId="646655AA" w14:textId="77777777" w:rsidR="00434B4D" w:rsidRPr="00687A69" w:rsidRDefault="00FC5013" w:rsidP="00E40B08">
            <w:pPr>
              <w:contextualSpacing/>
              <w:jc w:val="center"/>
              <w:rPr>
                <w:rFonts w:cs="Arial"/>
                <w:bCs/>
                <w:color w:val="000000"/>
                <w:sz w:val="21"/>
                <w:szCs w:val="21"/>
              </w:rPr>
            </w:pPr>
            <w:r>
              <w:rPr>
                <w:bCs/>
                <w:color w:val="000000"/>
                <w:sz w:val="21"/>
                <w:szCs w:val="21"/>
              </w:rPr>
              <w:t>3</w:t>
            </w:r>
          </w:p>
        </w:tc>
        <w:tc>
          <w:tcPr>
            <w:tcW w:w="7938" w:type="dxa"/>
            <w:vAlign w:val="center"/>
          </w:tcPr>
          <w:p w14:paraId="44F13FB0" w14:textId="77777777" w:rsidR="00434B4D" w:rsidRPr="00687A69" w:rsidRDefault="00434B4D" w:rsidP="00E40B08">
            <w:pPr>
              <w:spacing w:before="60" w:after="60"/>
              <w:contextualSpacing/>
              <w:rPr>
                <w:rFonts w:cs="Arial"/>
                <w:b/>
                <w:color w:val="000000"/>
                <w:sz w:val="21"/>
                <w:szCs w:val="21"/>
              </w:rPr>
            </w:pPr>
            <w:r>
              <w:rPr>
                <w:color w:val="000000"/>
                <w:sz w:val="21"/>
                <w:szCs w:val="21"/>
              </w:rPr>
              <w:t xml:space="preserve">Tous les autres documents certifiant </w:t>
            </w:r>
            <w:r>
              <w:rPr>
                <w:b/>
                <w:color w:val="000000"/>
                <w:sz w:val="21"/>
                <w:szCs w:val="21"/>
              </w:rPr>
              <w:t>la situation financière et la notation du risque de crédit</w:t>
            </w:r>
            <w:r>
              <w:rPr>
                <w:color w:val="000000"/>
                <w:sz w:val="21"/>
                <w:szCs w:val="21"/>
              </w:rPr>
              <w:t xml:space="preserve"> de la société.</w:t>
            </w:r>
            <w:r>
              <w:rPr>
                <w:b/>
                <w:color w:val="000000"/>
                <w:sz w:val="21"/>
                <w:szCs w:val="21"/>
              </w:rPr>
              <w:t xml:space="preserve"> </w:t>
            </w:r>
          </w:p>
        </w:tc>
        <w:tc>
          <w:tcPr>
            <w:tcW w:w="1275" w:type="dxa"/>
            <w:shd w:val="clear" w:color="auto" w:fill="FFF6DD"/>
            <w:vAlign w:val="center"/>
          </w:tcPr>
          <w:p w14:paraId="7625101C" w14:textId="77777777" w:rsidR="00434B4D" w:rsidRPr="00643648" w:rsidRDefault="00434B4D" w:rsidP="00E40B08">
            <w:pPr>
              <w:contextualSpacing/>
              <w:jc w:val="center"/>
              <w:rPr>
                <w:rFonts w:cs="Arial"/>
                <w:b/>
                <w:bCs/>
                <w:color w:val="000000"/>
                <w:sz w:val="21"/>
                <w:szCs w:val="21"/>
                <w:lang w:val="fr-ML"/>
              </w:rPr>
            </w:pPr>
          </w:p>
        </w:tc>
        <w:tc>
          <w:tcPr>
            <w:tcW w:w="5103" w:type="dxa"/>
            <w:vAlign w:val="center"/>
          </w:tcPr>
          <w:p w14:paraId="06E805D3" w14:textId="77777777" w:rsidR="00434B4D" w:rsidRPr="00643648" w:rsidRDefault="00434B4D" w:rsidP="00E40B08">
            <w:pPr>
              <w:contextualSpacing/>
              <w:rPr>
                <w:rFonts w:cs="Arial"/>
                <w:bCs/>
                <w:color w:val="000000"/>
                <w:sz w:val="21"/>
                <w:szCs w:val="21"/>
                <w:u w:val="single"/>
                <w:lang w:val="fr-ML"/>
              </w:rPr>
            </w:pPr>
          </w:p>
        </w:tc>
      </w:tr>
      <w:tr w:rsidR="00434B4D" w:rsidRPr="00687A69" w14:paraId="7FDC85ED" w14:textId="77777777" w:rsidTr="00687A69">
        <w:trPr>
          <w:trHeight w:val="397"/>
          <w:jc w:val="center"/>
        </w:trPr>
        <w:tc>
          <w:tcPr>
            <w:tcW w:w="421" w:type="dxa"/>
            <w:shd w:val="clear" w:color="auto" w:fill="D9D9D9" w:themeFill="background1" w:themeFillShade="D9"/>
            <w:vAlign w:val="center"/>
          </w:tcPr>
          <w:p w14:paraId="02093118" w14:textId="77777777" w:rsidR="00434B4D" w:rsidRPr="00687A69" w:rsidRDefault="00FC5013" w:rsidP="00E40B08">
            <w:pPr>
              <w:contextualSpacing/>
              <w:jc w:val="center"/>
              <w:rPr>
                <w:rFonts w:cs="Arial"/>
                <w:bCs/>
                <w:color w:val="000000"/>
                <w:sz w:val="21"/>
                <w:szCs w:val="21"/>
              </w:rPr>
            </w:pPr>
            <w:r>
              <w:rPr>
                <w:bCs/>
                <w:color w:val="000000"/>
                <w:sz w:val="21"/>
                <w:szCs w:val="21"/>
              </w:rPr>
              <w:t>4</w:t>
            </w:r>
          </w:p>
        </w:tc>
        <w:tc>
          <w:tcPr>
            <w:tcW w:w="7938" w:type="dxa"/>
            <w:vAlign w:val="center"/>
          </w:tcPr>
          <w:p w14:paraId="35AD1AB2" w14:textId="297C2339" w:rsidR="00434B4D" w:rsidRPr="00687A69" w:rsidRDefault="003A3F8D" w:rsidP="00D37535">
            <w:pPr>
              <w:contextualSpacing/>
              <w:rPr>
                <w:rFonts w:cs="Arial"/>
                <w:bCs/>
                <w:color w:val="000000"/>
                <w:sz w:val="21"/>
                <w:szCs w:val="21"/>
              </w:rPr>
            </w:pPr>
            <w:r>
              <w:rPr>
                <w:color w:val="000000"/>
                <w:sz w:val="21"/>
                <w:szCs w:val="21"/>
              </w:rPr>
              <w:t>Documents certifiant la</w:t>
            </w:r>
            <w:r>
              <w:rPr>
                <w:b/>
                <w:bCs/>
                <w:color w:val="000000"/>
                <w:sz w:val="21"/>
                <w:szCs w:val="21"/>
              </w:rPr>
              <w:t xml:space="preserve"> disponibilité d’un mécanisme d’assurance financière</w:t>
            </w:r>
            <w:r>
              <w:rPr>
                <w:color w:val="000000"/>
                <w:sz w:val="21"/>
                <w:szCs w:val="21"/>
              </w:rPr>
              <w:t>.</w:t>
            </w:r>
            <w:r>
              <w:rPr>
                <w:b/>
                <w:bCs/>
                <w:color w:val="000000"/>
                <w:sz w:val="21"/>
                <w:szCs w:val="21"/>
              </w:rPr>
              <w:t xml:space="preserve"> </w:t>
            </w:r>
            <w:r>
              <w:rPr>
                <w:sz w:val="21"/>
                <w:szCs w:val="21"/>
              </w:rPr>
              <w:t xml:space="preserve">Fournir des informations sur la disponibilité d’une </w:t>
            </w:r>
            <w:r>
              <w:rPr>
                <w:b/>
                <w:bCs/>
                <w:sz w:val="21"/>
                <w:szCs w:val="21"/>
              </w:rPr>
              <w:t>caution d’exécution/garantie bancaire</w:t>
            </w:r>
            <w:r>
              <w:rPr>
                <w:sz w:val="21"/>
                <w:szCs w:val="21"/>
              </w:rPr>
              <w:t xml:space="preserve">  </w:t>
            </w:r>
            <w:r>
              <w:rPr>
                <w:i/>
                <w:iCs/>
                <w:color w:val="1F3864"/>
                <w:sz w:val="21"/>
                <w:szCs w:val="21"/>
              </w:rPr>
              <w:t xml:space="preserve">(Veuillez noter que si le prestataire de services financiers ne peut fournir de mécanisme de garantie </w:t>
            </w:r>
            <w:r>
              <w:rPr>
                <w:i/>
                <w:iCs/>
                <w:color w:val="1F3864"/>
                <w:sz w:val="21"/>
                <w:szCs w:val="21"/>
              </w:rPr>
              <w:lastRenderedPageBreak/>
              <w:t>financière au terme de l’évaluation financière et opérationnelle du HCR, l’offre du fournisseur peut être inéligible.)</w:t>
            </w:r>
          </w:p>
        </w:tc>
        <w:tc>
          <w:tcPr>
            <w:tcW w:w="1275" w:type="dxa"/>
            <w:shd w:val="clear" w:color="auto" w:fill="FFF6DD"/>
            <w:vAlign w:val="center"/>
          </w:tcPr>
          <w:p w14:paraId="4CE5E240" w14:textId="77777777" w:rsidR="00434B4D" w:rsidRPr="00643648" w:rsidRDefault="00434B4D" w:rsidP="00E40B08">
            <w:pPr>
              <w:contextualSpacing/>
              <w:jc w:val="center"/>
              <w:rPr>
                <w:rFonts w:cs="Arial"/>
                <w:b/>
                <w:bCs/>
                <w:color w:val="000000"/>
                <w:sz w:val="21"/>
                <w:szCs w:val="21"/>
                <w:lang w:val="fr-ML"/>
              </w:rPr>
            </w:pPr>
          </w:p>
        </w:tc>
        <w:tc>
          <w:tcPr>
            <w:tcW w:w="5103" w:type="dxa"/>
            <w:vAlign w:val="center"/>
          </w:tcPr>
          <w:p w14:paraId="2A259BF3" w14:textId="77777777" w:rsidR="00434B4D" w:rsidRPr="00643648" w:rsidRDefault="00434B4D" w:rsidP="00E40B08">
            <w:pPr>
              <w:contextualSpacing/>
              <w:rPr>
                <w:rFonts w:cs="Arial"/>
                <w:bCs/>
                <w:color w:val="000000"/>
                <w:sz w:val="21"/>
                <w:szCs w:val="21"/>
                <w:u w:val="single"/>
                <w:lang w:val="fr-ML"/>
              </w:rPr>
            </w:pPr>
          </w:p>
        </w:tc>
      </w:tr>
      <w:tr w:rsidR="00434B4D" w:rsidRPr="00687A69" w14:paraId="1548D0A7" w14:textId="77777777" w:rsidTr="00687A69">
        <w:trPr>
          <w:trHeight w:val="539"/>
          <w:jc w:val="center"/>
        </w:trPr>
        <w:tc>
          <w:tcPr>
            <w:tcW w:w="421" w:type="dxa"/>
            <w:shd w:val="clear" w:color="auto" w:fill="D9D9D9" w:themeFill="background1" w:themeFillShade="D9"/>
            <w:vAlign w:val="center"/>
          </w:tcPr>
          <w:p w14:paraId="4A0ACE55" w14:textId="77777777" w:rsidR="00434B4D" w:rsidRPr="00687A69" w:rsidRDefault="00FC5013" w:rsidP="00E40B08">
            <w:pPr>
              <w:contextualSpacing/>
              <w:jc w:val="center"/>
              <w:rPr>
                <w:rFonts w:cs="Arial"/>
                <w:bCs/>
                <w:color w:val="000000"/>
                <w:sz w:val="21"/>
                <w:szCs w:val="21"/>
              </w:rPr>
            </w:pPr>
            <w:r>
              <w:rPr>
                <w:bCs/>
                <w:color w:val="000000"/>
                <w:sz w:val="21"/>
                <w:szCs w:val="21"/>
              </w:rPr>
              <w:t>5</w:t>
            </w:r>
          </w:p>
        </w:tc>
        <w:tc>
          <w:tcPr>
            <w:tcW w:w="7938" w:type="dxa"/>
            <w:vAlign w:val="center"/>
          </w:tcPr>
          <w:p w14:paraId="1B9A68D3" w14:textId="7BCF5682" w:rsidR="00434B4D" w:rsidRPr="00687A69" w:rsidRDefault="00434B4D" w:rsidP="00E40B08">
            <w:pPr>
              <w:contextualSpacing/>
              <w:rPr>
                <w:rFonts w:cs="Arial"/>
                <w:b/>
                <w:color w:val="000000"/>
                <w:sz w:val="21"/>
                <w:szCs w:val="21"/>
                <w:u w:val="single"/>
              </w:rPr>
            </w:pPr>
            <w:r>
              <w:rPr>
                <w:b/>
                <w:bCs/>
                <w:sz w:val="21"/>
                <w:szCs w:val="21"/>
              </w:rPr>
              <w:t>Plan de continuité des opérations</w:t>
            </w:r>
            <w:r>
              <w:rPr>
                <w:sz w:val="21"/>
                <w:szCs w:val="21"/>
              </w:rPr>
              <w:t xml:space="preserve"> et documents concernant tout programme d’évaluation du risque de conformité</w:t>
            </w:r>
          </w:p>
        </w:tc>
        <w:tc>
          <w:tcPr>
            <w:tcW w:w="1275" w:type="dxa"/>
            <w:shd w:val="clear" w:color="auto" w:fill="FFF6DD"/>
            <w:vAlign w:val="center"/>
          </w:tcPr>
          <w:p w14:paraId="0DB4273E" w14:textId="77777777" w:rsidR="00434B4D" w:rsidRPr="00643648" w:rsidRDefault="00434B4D" w:rsidP="00E40B08">
            <w:pPr>
              <w:contextualSpacing/>
              <w:jc w:val="center"/>
              <w:rPr>
                <w:rFonts w:cs="Arial"/>
                <w:b/>
                <w:bCs/>
                <w:color w:val="000000"/>
                <w:sz w:val="21"/>
                <w:szCs w:val="21"/>
                <w:lang w:val="fr-ML"/>
              </w:rPr>
            </w:pPr>
          </w:p>
        </w:tc>
        <w:tc>
          <w:tcPr>
            <w:tcW w:w="5103" w:type="dxa"/>
            <w:vAlign w:val="center"/>
          </w:tcPr>
          <w:p w14:paraId="53523F07" w14:textId="77777777" w:rsidR="00434B4D" w:rsidRPr="00643648" w:rsidRDefault="00434B4D" w:rsidP="00E40B08">
            <w:pPr>
              <w:contextualSpacing/>
              <w:rPr>
                <w:rFonts w:cs="Arial"/>
                <w:bCs/>
                <w:color w:val="000000"/>
                <w:sz w:val="21"/>
                <w:szCs w:val="21"/>
                <w:lang w:val="fr-ML"/>
              </w:rPr>
            </w:pPr>
          </w:p>
        </w:tc>
      </w:tr>
    </w:tbl>
    <w:p w14:paraId="64D57223" w14:textId="77777777" w:rsidR="00547301" w:rsidRDefault="00547301" w:rsidP="00E40B08">
      <w:pPr>
        <w:spacing w:after="0"/>
        <w:contextualSpacing/>
        <w:rPr>
          <w:rFonts w:cs="Arial"/>
          <w:b/>
          <w:color w:val="000000"/>
          <w:sz w:val="21"/>
          <w:szCs w:val="21"/>
        </w:rPr>
      </w:pPr>
    </w:p>
    <w:p w14:paraId="257959BB" w14:textId="1A42D09E" w:rsidR="00D6798F" w:rsidRPr="005B43E0" w:rsidRDefault="0093149B" w:rsidP="00E40B08">
      <w:pPr>
        <w:spacing w:after="0"/>
        <w:contextualSpacing/>
        <w:rPr>
          <w:rFonts w:cs="Arial"/>
          <w:b/>
          <w:color w:val="000000"/>
        </w:rPr>
      </w:pPr>
      <w:r>
        <w:rPr>
          <w:b/>
          <w:color w:val="000000"/>
        </w:rPr>
        <w:t>FIN PARTIE 1</w:t>
      </w:r>
    </w:p>
    <w:p w14:paraId="0F002ADB" w14:textId="77777777" w:rsidR="00DF6A01" w:rsidRPr="00687A69" w:rsidRDefault="00DF6A01" w:rsidP="003378A7">
      <w:pPr>
        <w:spacing w:after="0"/>
        <w:contextualSpacing/>
        <w:rPr>
          <w:rFonts w:cs="Arial"/>
          <w:color w:val="000000"/>
          <w:sz w:val="21"/>
          <w:szCs w:val="21"/>
        </w:rPr>
      </w:pPr>
    </w:p>
    <w:p w14:paraId="24988427" w14:textId="77777777" w:rsidR="001F42F7" w:rsidRPr="00687A69" w:rsidRDefault="001F42F7" w:rsidP="003378A7">
      <w:pPr>
        <w:spacing w:after="0"/>
        <w:contextualSpacing/>
        <w:rPr>
          <w:rFonts w:cs="Arial"/>
          <w:color w:val="000000"/>
          <w:sz w:val="21"/>
          <w:szCs w:val="21"/>
        </w:rPr>
      </w:pPr>
    </w:p>
    <w:p w14:paraId="7C32CB00" w14:textId="6C1DD667" w:rsidR="00DF6A01" w:rsidRPr="00330EF9" w:rsidRDefault="003378A7" w:rsidP="001F42F7">
      <w:pPr>
        <w:pStyle w:val="Commentaire"/>
        <w:spacing w:after="0"/>
        <w:rPr>
          <w:rFonts w:cs="Arial"/>
          <w:b/>
          <w:noProof/>
          <w:color w:val="000000"/>
          <w:sz w:val="28"/>
          <w:szCs w:val="28"/>
          <w:u w:val="single"/>
        </w:rPr>
      </w:pPr>
      <w:r>
        <w:rPr>
          <w:b/>
          <w:color w:val="000000"/>
          <w:sz w:val="28"/>
          <w:szCs w:val="28"/>
          <w:u w:val="single"/>
        </w:rPr>
        <w:t>PARTIE 2 – Exposé de l’offre</w:t>
      </w:r>
    </w:p>
    <w:p w14:paraId="3A5FD82E" w14:textId="77777777" w:rsidR="00585A53" w:rsidRPr="00687A69" w:rsidRDefault="00585A53" w:rsidP="001F42F7">
      <w:pPr>
        <w:pStyle w:val="Commentaire"/>
        <w:spacing w:after="0"/>
        <w:rPr>
          <w:rFonts w:cs="Arial"/>
          <w:b/>
          <w:noProof/>
          <w:color w:val="000000"/>
          <w:sz w:val="21"/>
          <w:szCs w:val="21"/>
          <w:u w:val="single"/>
          <w:lang w:eastAsia="en-GB"/>
        </w:rPr>
      </w:pPr>
    </w:p>
    <w:p w14:paraId="05C68308" w14:textId="63E6AFA3" w:rsidR="00306587" w:rsidRPr="00687A69" w:rsidRDefault="00ED1C80" w:rsidP="00385EE9">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FDF1E9"/>
        <w:spacing w:after="0" w:line="240" w:lineRule="auto"/>
        <w:contextualSpacing/>
        <w:jc w:val="both"/>
        <w:rPr>
          <w:rFonts w:eastAsia="Times New Roman" w:cs="Arial"/>
          <w:b/>
          <w:color w:val="002060"/>
          <w:sz w:val="21"/>
          <w:szCs w:val="21"/>
        </w:rPr>
      </w:pPr>
      <w:r>
        <w:rPr>
          <w:b/>
          <w:bCs/>
          <w:color w:val="002060"/>
          <w:sz w:val="21"/>
          <w:szCs w:val="21"/>
        </w:rPr>
        <w:t>Partie 2 Instructions :</w:t>
      </w:r>
      <w:r>
        <w:rPr>
          <w:bCs/>
          <w:color w:val="002060"/>
          <w:sz w:val="21"/>
          <w:szCs w:val="21"/>
        </w:rPr>
        <w:t xml:space="preserve"> Si votre société propose plus d’un type de mécanisme d’exécution en matière d’argent (comptes bancaires et argent mobile), </w:t>
      </w:r>
      <w:r>
        <w:rPr>
          <w:bCs/>
          <w:color w:val="002060"/>
          <w:sz w:val="21"/>
          <w:szCs w:val="21"/>
          <w:u w:val="single"/>
        </w:rPr>
        <w:t>veuillez remplir le formulaire de la Partie 2 de manière distincte pour chaque mécanisme d’exécution proposé</w:t>
      </w:r>
      <w:r>
        <w:rPr>
          <w:bCs/>
          <w:color w:val="002060"/>
          <w:sz w:val="21"/>
          <w:szCs w:val="21"/>
        </w:rPr>
        <w:t xml:space="preserve">. </w:t>
      </w:r>
      <w:r>
        <w:rPr>
          <w:bCs/>
          <w:sz w:val="21"/>
          <w:szCs w:val="21"/>
        </w:rPr>
        <w:t>Si les informations présentées pour un mécanisme d’exécution particulier s’appliquent également pour le(s) mécanisme(s) d’exécution supplémentaire(s) proposé(s), vous pouvez vous référer aux informations déjà fournies (</w:t>
      </w:r>
      <w:r>
        <w:rPr>
          <w:bCs/>
          <w:i/>
          <w:sz w:val="21"/>
          <w:szCs w:val="21"/>
        </w:rPr>
        <w:t>c’est-à-dire, veuillez reporter la réponse dans l’Annexe B, Partie 2 – Comptes bancaires</w:t>
      </w:r>
      <w:r>
        <w:rPr>
          <w:bCs/>
          <w:sz w:val="21"/>
          <w:szCs w:val="21"/>
        </w:rPr>
        <w:t>).</w:t>
      </w:r>
    </w:p>
    <w:p w14:paraId="576B2A2B" w14:textId="1CEE9C71" w:rsidR="00DF6A01" w:rsidRPr="00687A69" w:rsidRDefault="00DF6A01" w:rsidP="00385EE9">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FDF1E9"/>
        <w:spacing w:after="0" w:line="240" w:lineRule="auto"/>
        <w:contextualSpacing/>
        <w:jc w:val="both"/>
        <w:rPr>
          <w:rFonts w:eastAsia="Times New Roman" w:cs="Arial"/>
          <w:color w:val="002060"/>
          <w:sz w:val="21"/>
          <w:szCs w:val="21"/>
        </w:rPr>
      </w:pPr>
      <w:r>
        <w:rPr>
          <w:b/>
          <w:color w:val="002060"/>
          <w:sz w:val="21"/>
          <w:szCs w:val="21"/>
        </w:rPr>
        <w:t>Note :</w:t>
      </w:r>
      <w:r>
        <w:rPr>
          <w:color w:val="002060"/>
          <w:sz w:val="21"/>
          <w:szCs w:val="21"/>
        </w:rPr>
        <w:t xml:space="preserve"> Les soumissionnaires peuvent utiliser leur propre formulaire pour l’exposé de l’offre technique, à condition que l’ordre des informations fournies corresponde à l’ordre des informations exigées dans le présent formulaire. En outre, toutes les pages doivent être datées, paraphées et revêtues du cachet de la société.</w:t>
      </w:r>
    </w:p>
    <w:p w14:paraId="50CF8008" w14:textId="59C4D4C7" w:rsidR="006420BC" w:rsidRPr="00643648" w:rsidRDefault="006420BC" w:rsidP="006420BC">
      <w:pPr>
        <w:spacing w:after="0" w:line="240" w:lineRule="auto"/>
        <w:contextualSpacing/>
        <w:rPr>
          <w:rFonts w:eastAsia="Times New Roman" w:cs="Arial"/>
          <w:b/>
          <w:color w:val="000000"/>
          <w:sz w:val="21"/>
          <w:szCs w:val="21"/>
          <w:lang w:val="fr-ML" w:eastAsia="en-GB"/>
        </w:rPr>
      </w:pPr>
    </w:p>
    <w:p w14:paraId="436F93A4" w14:textId="2DE33AED" w:rsidR="006420BC" w:rsidRPr="00AA2C5A" w:rsidRDefault="00330EF9" w:rsidP="00F33615">
      <w:pPr>
        <w:pBdr>
          <w:top w:val="single" w:sz="4" w:space="1" w:color="auto"/>
          <w:left w:val="single" w:sz="4" w:space="4" w:color="auto"/>
          <w:bottom w:val="single" w:sz="4" w:space="1" w:color="auto"/>
          <w:right w:val="single" w:sz="4" w:space="4" w:color="auto"/>
        </w:pBdr>
        <w:shd w:val="clear" w:color="auto" w:fill="FFF6DD"/>
        <w:spacing w:after="0" w:line="240" w:lineRule="auto"/>
        <w:contextualSpacing/>
        <w:rPr>
          <w:rFonts w:cs="Arial"/>
          <w:b/>
          <w:bCs/>
          <w:smallCaps/>
          <w:color w:val="002060"/>
        </w:rPr>
      </w:pPr>
      <w:r>
        <w:rPr>
          <w:bCs/>
          <w:sz w:val="21"/>
          <w:szCs w:val="21"/>
        </w:rPr>
        <w:t xml:space="preserve">Préciser le type de </w:t>
      </w:r>
      <w:r>
        <w:rPr>
          <w:b/>
          <w:bCs/>
          <w:sz w:val="21"/>
          <w:szCs w:val="21"/>
          <w:u w:val="single"/>
        </w:rPr>
        <w:t>MÉCANISME D’EXÉCUTION</w:t>
      </w:r>
      <w:r>
        <w:rPr>
          <w:bCs/>
          <w:sz w:val="21"/>
          <w:szCs w:val="21"/>
        </w:rPr>
        <w:t xml:space="preserve"> proposé :</w:t>
      </w:r>
      <w:r>
        <w:rPr>
          <w:b/>
          <w:bCs/>
          <w:smallCaps/>
          <w:sz w:val="21"/>
          <w:szCs w:val="21"/>
        </w:rPr>
        <w:t xml:space="preserve">  </w:t>
      </w:r>
    </w:p>
    <w:p w14:paraId="2D4BD24C" w14:textId="77777777" w:rsidR="006420BC" w:rsidRPr="00643648" w:rsidRDefault="006420BC" w:rsidP="00DF6A01">
      <w:pPr>
        <w:spacing w:after="0" w:line="240" w:lineRule="auto"/>
        <w:contextualSpacing/>
        <w:rPr>
          <w:rFonts w:cs="Arial"/>
          <w:bCs/>
          <w:color w:val="FF0000"/>
          <w:sz w:val="21"/>
          <w:szCs w:val="21"/>
          <w:lang w:val="fr-ML"/>
        </w:rPr>
      </w:pPr>
    </w:p>
    <w:tbl>
      <w:tblPr>
        <w:tblW w:w="14769" w:type="dxa"/>
        <w:jc w:val="center"/>
        <w:tblCellMar>
          <w:left w:w="0" w:type="dxa"/>
          <w:right w:w="0" w:type="dxa"/>
        </w:tblCellMar>
        <w:tblLook w:val="04A0" w:firstRow="1" w:lastRow="0" w:firstColumn="1" w:lastColumn="0" w:noHBand="0" w:noVBand="1"/>
      </w:tblPr>
      <w:tblGrid>
        <w:gridCol w:w="14769"/>
      </w:tblGrid>
      <w:tr w:rsidR="00DF6A01" w:rsidRPr="00687A69" w14:paraId="5FF0D0DF" w14:textId="77777777" w:rsidTr="00DB08F0">
        <w:trPr>
          <w:trHeight w:val="343"/>
          <w:jc w:val="center"/>
        </w:trPr>
        <w:tc>
          <w:tcPr>
            <w:tcW w:w="14769"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21B961FC" w14:textId="692D63F7" w:rsidR="00DF6A01" w:rsidRPr="00687A69" w:rsidRDefault="00845AF1" w:rsidP="00043A2B">
            <w:pPr>
              <w:spacing w:before="60" w:after="0"/>
              <w:contextualSpacing/>
              <w:rPr>
                <w:rFonts w:cs="Arial"/>
                <w:sz w:val="21"/>
                <w:szCs w:val="21"/>
              </w:rPr>
            </w:pPr>
            <w:r>
              <w:rPr>
                <w:b/>
                <w:bCs/>
                <w:sz w:val="21"/>
                <w:szCs w:val="21"/>
              </w:rPr>
              <w:t>1.  Aperçu de la société, expérience et capacité</w:t>
            </w:r>
            <w:r>
              <w:rPr>
                <w:b/>
                <w:bCs/>
                <w:i/>
                <w:sz w:val="21"/>
                <w:szCs w:val="21"/>
              </w:rPr>
              <w:t xml:space="preserve"> </w:t>
            </w:r>
            <w:r>
              <w:rPr>
                <w:b/>
                <w:color w:val="1F3864" w:themeColor="accent5" w:themeShade="80"/>
                <w:sz w:val="21"/>
                <w:szCs w:val="21"/>
              </w:rPr>
              <w:t>(</w:t>
            </w:r>
            <w:r>
              <w:rPr>
                <w:b/>
                <w:color w:val="1F3864" w:themeColor="accent5" w:themeShade="80"/>
                <w:sz w:val="21"/>
                <w:szCs w:val="21"/>
                <w:u w:val="single"/>
              </w:rPr>
              <w:t>100 points au total</w:t>
            </w:r>
            <w:r>
              <w:rPr>
                <w:b/>
                <w:color w:val="1F3864" w:themeColor="accent5" w:themeShade="80"/>
                <w:sz w:val="21"/>
                <w:szCs w:val="21"/>
              </w:rPr>
              <w:t xml:space="preserve">, </w:t>
            </w:r>
            <w:r>
              <w:rPr>
                <w:i/>
                <w:color w:val="1F3864" w:themeColor="accent5" w:themeShade="80"/>
                <w:sz w:val="21"/>
                <w:szCs w:val="21"/>
              </w:rPr>
              <w:t>barème détaillé ci-dessous</w:t>
            </w:r>
            <w:r>
              <w:rPr>
                <w:b/>
                <w:color w:val="1F3864" w:themeColor="accent5" w:themeShade="80"/>
                <w:sz w:val="21"/>
                <w:szCs w:val="21"/>
              </w:rPr>
              <w:t>)</w:t>
            </w:r>
          </w:p>
        </w:tc>
      </w:tr>
      <w:tr w:rsidR="00DF6A01" w:rsidRPr="00687A69" w14:paraId="1FAD0A38" w14:textId="77777777" w:rsidTr="00DB08F0">
        <w:trPr>
          <w:trHeight w:val="605"/>
          <w:jc w:val="center"/>
        </w:trPr>
        <w:tc>
          <w:tcPr>
            <w:tcW w:w="147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489E111" w14:textId="5BFD7AB4" w:rsidR="00DF6A01" w:rsidRPr="00687A69" w:rsidRDefault="00DF6A01" w:rsidP="00043A2B">
            <w:pPr>
              <w:spacing w:after="0"/>
              <w:contextualSpacing/>
              <w:rPr>
                <w:rFonts w:cs="Arial"/>
                <w:color w:val="000000"/>
                <w:sz w:val="21"/>
                <w:szCs w:val="21"/>
              </w:rPr>
            </w:pPr>
            <w:r>
              <w:rPr>
                <w:b/>
                <w:bCs/>
                <w:color w:val="000000"/>
                <w:sz w:val="21"/>
                <w:szCs w:val="21"/>
              </w:rPr>
              <w:t>1a)</w:t>
            </w:r>
            <w:r>
              <w:rPr>
                <w:bCs/>
                <w:color w:val="000000"/>
                <w:sz w:val="21"/>
                <w:szCs w:val="21"/>
              </w:rPr>
              <w:t xml:space="preserve"> Donner un aperçu de l’entreprise et de ses </w:t>
            </w:r>
            <w:r>
              <w:rPr>
                <w:b/>
                <w:bCs/>
                <w:color w:val="000000"/>
                <w:sz w:val="21"/>
                <w:szCs w:val="21"/>
              </w:rPr>
              <w:t>années d’expérience</w:t>
            </w:r>
            <w:r>
              <w:rPr>
                <w:bCs/>
                <w:color w:val="000000"/>
                <w:sz w:val="21"/>
                <w:szCs w:val="21"/>
              </w:rPr>
              <w:t xml:space="preserve"> </w:t>
            </w:r>
            <w:r>
              <w:rPr>
                <w:b/>
                <w:color w:val="1F3864" w:themeColor="accent5" w:themeShade="80"/>
                <w:sz w:val="21"/>
                <w:szCs w:val="21"/>
              </w:rPr>
              <w:t>(</w:t>
            </w:r>
            <w:r>
              <w:rPr>
                <w:b/>
                <w:color w:val="1F3864" w:themeColor="accent5" w:themeShade="80"/>
                <w:sz w:val="21"/>
                <w:szCs w:val="21"/>
                <w:u w:val="single"/>
              </w:rPr>
              <w:t>20 points</w:t>
            </w:r>
            <w:r>
              <w:rPr>
                <w:b/>
                <w:color w:val="1F3864" w:themeColor="accent5" w:themeShade="80"/>
                <w:sz w:val="21"/>
                <w:szCs w:val="21"/>
              </w:rPr>
              <w:t>)</w:t>
            </w:r>
            <w:r>
              <w:rPr>
                <w:bCs/>
                <w:color w:val="000000"/>
                <w:sz w:val="21"/>
                <w:szCs w:val="21"/>
              </w:rPr>
              <w:t>, y compris :</w:t>
            </w:r>
          </w:p>
          <w:p w14:paraId="288C0BCA" w14:textId="50262E39" w:rsidR="00DF6A01" w:rsidRPr="00687A69" w:rsidRDefault="00DF6A01" w:rsidP="00043A2B">
            <w:pPr>
              <w:spacing w:after="0"/>
              <w:contextualSpacing/>
              <w:rPr>
                <w:rFonts w:cs="Arial"/>
                <w:color w:val="000000"/>
                <w:sz w:val="21"/>
                <w:szCs w:val="21"/>
              </w:rPr>
            </w:pPr>
            <w:r>
              <w:rPr>
                <w:color w:val="000000"/>
                <w:sz w:val="21"/>
                <w:szCs w:val="21"/>
              </w:rPr>
              <w:t>- Année de fondation/constitution, description des services fournis, emplacement du siège social, structure organisationnelle, filiales, etc.</w:t>
            </w:r>
          </w:p>
        </w:tc>
      </w:tr>
      <w:tr w:rsidR="00DF6A01" w:rsidRPr="00687A69" w14:paraId="588EB493" w14:textId="77777777" w:rsidTr="00DB08F0">
        <w:trPr>
          <w:trHeight w:val="570"/>
          <w:jc w:val="center"/>
        </w:trPr>
        <w:tc>
          <w:tcPr>
            <w:tcW w:w="1476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7055BE5" w14:textId="77777777" w:rsidR="00DF6A01" w:rsidRPr="00643648" w:rsidRDefault="00DF6A01" w:rsidP="00043A2B">
            <w:pPr>
              <w:spacing w:after="0"/>
              <w:contextualSpacing/>
              <w:rPr>
                <w:rFonts w:cs="Arial"/>
                <w:b/>
                <w:bCs/>
                <w:color w:val="000000"/>
                <w:sz w:val="21"/>
                <w:szCs w:val="21"/>
                <w:u w:val="single"/>
                <w:lang w:val="fr-ML"/>
              </w:rPr>
            </w:pPr>
          </w:p>
          <w:p w14:paraId="0C461D3F" w14:textId="77777777" w:rsidR="008A01E8" w:rsidRPr="00643648" w:rsidRDefault="008A01E8" w:rsidP="00043A2B">
            <w:pPr>
              <w:spacing w:after="0"/>
              <w:contextualSpacing/>
              <w:rPr>
                <w:rFonts w:cs="Arial"/>
                <w:b/>
                <w:bCs/>
                <w:color w:val="000000"/>
                <w:sz w:val="21"/>
                <w:szCs w:val="21"/>
                <w:u w:val="single"/>
                <w:lang w:val="fr-ML"/>
              </w:rPr>
            </w:pPr>
          </w:p>
          <w:p w14:paraId="2A27EBD3" w14:textId="77777777" w:rsidR="00330EF9" w:rsidRPr="00643648" w:rsidRDefault="00330EF9" w:rsidP="00043A2B">
            <w:pPr>
              <w:spacing w:after="0"/>
              <w:contextualSpacing/>
              <w:rPr>
                <w:rFonts w:cs="Arial"/>
                <w:b/>
                <w:bCs/>
                <w:color w:val="000000"/>
                <w:sz w:val="21"/>
                <w:szCs w:val="21"/>
                <w:u w:val="single"/>
                <w:lang w:val="fr-ML"/>
              </w:rPr>
            </w:pPr>
          </w:p>
        </w:tc>
      </w:tr>
      <w:tr w:rsidR="00DF6A01" w:rsidRPr="00687A69" w14:paraId="53E903C1" w14:textId="77777777" w:rsidTr="00DB08F0">
        <w:trPr>
          <w:trHeight w:val="723"/>
          <w:jc w:val="center"/>
        </w:trPr>
        <w:tc>
          <w:tcPr>
            <w:tcW w:w="14769" w:type="dxa"/>
            <w:tcBorders>
              <w:top w:val="single" w:sz="4" w:space="0" w:color="auto"/>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75B24AB5" w14:textId="08F44F48" w:rsidR="00DF6A01" w:rsidRPr="00687A69" w:rsidRDefault="00DF6A01" w:rsidP="00EA2E61">
            <w:pPr>
              <w:spacing w:after="60" w:line="240" w:lineRule="auto"/>
              <w:contextualSpacing/>
              <w:rPr>
                <w:rFonts w:eastAsia="Times New Roman" w:cs="Arial"/>
                <w:bCs/>
                <w:iCs/>
                <w:sz w:val="21"/>
                <w:szCs w:val="21"/>
              </w:rPr>
            </w:pPr>
            <w:r>
              <w:rPr>
                <w:b/>
                <w:sz w:val="21"/>
                <w:szCs w:val="21"/>
              </w:rPr>
              <w:t>1b)</w:t>
            </w:r>
            <w:r>
              <w:rPr>
                <w:sz w:val="21"/>
                <w:szCs w:val="21"/>
              </w:rPr>
              <w:t xml:space="preserve"> Fournir des détails sur des </w:t>
            </w:r>
            <w:r>
              <w:rPr>
                <w:b/>
                <w:sz w:val="21"/>
                <w:szCs w:val="21"/>
              </w:rPr>
              <w:t xml:space="preserve">projets similaires </w:t>
            </w:r>
            <w:r>
              <w:rPr>
                <w:b/>
                <w:color w:val="1F3864" w:themeColor="accent5" w:themeShade="80"/>
                <w:sz w:val="21"/>
                <w:szCs w:val="21"/>
              </w:rPr>
              <w:t>(</w:t>
            </w:r>
            <w:r>
              <w:rPr>
                <w:b/>
                <w:color w:val="1F3864" w:themeColor="accent5" w:themeShade="80"/>
                <w:sz w:val="21"/>
                <w:szCs w:val="21"/>
                <w:u w:val="single"/>
              </w:rPr>
              <w:t>30 points</w:t>
            </w:r>
            <w:r>
              <w:rPr>
                <w:b/>
                <w:color w:val="1F3864" w:themeColor="accent5" w:themeShade="80"/>
                <w:sz w:val="21"/>
                <w:szCs w:val="21"/>
              </w:rPr>
              <w:t>)</w:t>
            </w:r>
            <w:r>
              <w:rPr>
                <w:b/>
                <w:sz w:val="21"/>
                <w:szCs w:val="21"/>
              </w:rPr>
              <w:t xml:space="preserve"> </w:t>
            </w:r>
            <w:r>
              <w:rPr>
                <w:sz w:val="21"/>
                <w:szCs w:val="21"/>
              </w:rPr>
              <w:t>(</w:t>
            </w:r>
            <w:r>
              <w:rPr>
                <w:i/>
                <w:iCs/>
                <w:sz w:val="21"/>
                <w:szCs w:val="21"/>
              </w:rPr>
              <w:t>Inclure le nom du client, les zones géographiques spécifiques, les types de services fournis et le nombre de bénéficiaires.</w:t>
            </w:r>
            <w:r>
              <w:rPr>
                <w:sz w:val="21"/>
                <w:szCs w:val="21"/>
              </w:rPr>
              <w:t xml:space="preserve"> </w:t>
            </w:r>
            <w:r>
              <w:rPr>
                <w:bCs/>
                <w:i/>
                <w:iCs/>
                <w:sz w:val="21"/>
                <w:szCs w:val="21"/>
              </w:rPr>
              <w:t>Le paiement du salaire, de la pension ou d’autres compensations régulières au nom des entreprises/du gouvernement peut être détaillé ici</w:t>
            </w:r>
            <w:r>
              <w:rPr>
                <w:bCs/>
                <w:iCs/>
                <w:sz w:val="21"/>
                <w:szCs w:val="21"/>
              </w:rPr>
              <w:t xml:space="preserve">). Indiquer notamment si le projet a été </w:t>
            </w:r>
            <w:r>
              <w:rPr>
                <w:b/>
                <w:bCs/>
                <w:iCs/>
                <w:sz w:val="21"/>
                <w:szCs w:val="21"/>
              </w:rPr>
              <w:t>mis en œuvre pour des organismes des Nations unies ou des ONG.</w:t>
            </w:r>
            <w:r>
              <w:rPr>
                <w:bCs/>
                <w:iCs/>
                <w:color w:val="1F4E79" w:themeColor="accent1" w:themeShade="80"/>
                <w:sz w:val="21"/>
                <w:szCs w:val="21"/>
              </w:rPr>
              <w:t xml:space="preserve">  </w:t>
            </w:r>
          </w:p>
        </w:tc>
      </w:tr>
      <w:tr w:rsidR="00DF6A01" w:rsidRPr="00687A69" w14:paraId="53A0C47C" w14:textId="77777777" w:rsidTr="00DB08F0">
        <w:trPr>
          <w:trHeight w:val="559"/>
          <w:jc w:val="center"/>
        </w:trPr>
        <w:tc>
          <w:tcPr>
            <w:tcW w:w="1476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F034570" w14:textId="484BD891" w:rsidR="008A01E8" w:rsidRDefault="00EB1FA0" w:rsidP="00043A2B">
            <w:pPr>
              <w:spacing w:before="60" w:after="60" w:line="240" w:lineRule="auto"/>
              <w:contextualSpacing/>
              <w:rPr>
                <w:rFonts w:eastAsia="Times New Roman" w:cs="Arial"/>
                <w:sz w:val="21"/>
                <w:szCs w:val="21"/>
              </w:rPr>
            </w:pPr>
            <w:r>
              <w:rPr>
                <w:sz w:val="21"/>
                <w:szCs w:val="21"/>
              </w:rPr>
              <w:t xml:space="preserve">  </w:t>
            </w:r>
          </w:p>
          <w:p w14:paraId="139312D4" w14:textId="77777777" w:rsidR="00330EF9" w:rsidRPr="00687A69" w:rsidRDefault="00330EF9" w:rsidP="00043A2B">
            <w:pPr>
              <w:spacing w:before="60" w:after="60" w:line="240" w:lineRule="auto"/>
              <w:contextualSpacing/>
              <w:rPr>
                <w:rFonts w:eastAsia="Times New Roman" w:cs="Arial"/>
                <w:sz w:val="21"/>
                <w:szCs w:val="21"/>
                <w:lang w:eastAsia="en-GB"/>
              </w:rPr>
            </w:pPr>
          </w:p>
          <w:p w14:paraId="2D41E2A6" w14:textId="6F39A0D8" w:rsidR="008A01E8" w:rsidRPr="00687A69" w:rsidRDefault="008A01E8" w:rsidP="00043A2B">
            <w:pPr>
              <w:spacing w:before="60" w:after="60" w:line="240" w:lineRule="auto"/>
              <w:contextualSpacing/>
              <w:rPr>
                <w:rFonts w:eastAsia="Times New Roman" w:cs="Arial"/>
                <w:sz w:val="21"/>
                <w:szCs w:val="21"/>
                <w:lang w:eastAsia="en-GB"/>
              </w:rPr>
            </w:pPr>
          </w:p>
        </w:tc>
      </w:tr>
      <w:tr w:rsidR="00DF6A01" w:rsidRPr="00687A69" w14:paraId="34D8FBC7" w14:textId="77777777" w:rsidTr="00DB08F0">
        <w:trPr>
          <w:trHeight w:val="1787"/>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7D209E03" w14:textId="441902C7" w:rsidR="00857277" w:rsidRPr="00687A69" w:rsidRDefault="00DF6A01" w:rsidP="00420176">
            <w:pPr>
              <w:spacing w:after="0" w:line="240" w:lineRule="auto"/>
              <w:rPr>
                <w:rFonts w:eastAsia="Times New Roman" w:cs="Arial"/>
                <w:bCs/>
                <w:iCs/>
                <w:sz w:val="21"/>
                <w:szCs w:val="21"/>
              </w:rPr>
            </w:pPr>
            <w:r>
              <w:rPr>
                <w:b/>
                <w:sz w:val="21"/>
                <w:szCs w:val="21"/>
              </w:rPr>
              <w:lastRenderedPageBreak/>
              <w:t xml:space="preserve">1c) </w:t>
            </w:r>
            <w:r>
              <w:rPr>
                <w:b/>
                <w:bCs/>
                <w:sz w:val="21"/>
                <w:szCs w:val="21"/>
              </w:rPr>
              <w:t>Énumérer</w:t>
            </w:r>
            <w:r>
              <w:rPr>
                <w:sz w:val="21"/>
                <w:szCs w:val="21"/>
              </w:rPr>
              <w:t xml:space="preserve">, de façon aussi détaillée que possible, </w:t>
            </w:r>
            <w:r>
              <w:rPr>
                <w:b/>
                <w:bCs/>
                <w:sz w:val="21"/>
                <w:szCs w:val="21"/>
              </w:rPr>
              <w:t xml:space="preserve">les emplacements/lots spécifiés en Annexe A - </w:t>
            </w:r>
            <w:proofErr w:type="spellStart"/>
            <w:r>
              <w:rPr>
                <w:b/>
                <w:bCs/>
                <w:sz w:val="21"/>
                <w:szCs w:val="21"/>
              </w:rPr>
              <w:t>TdR</w:t>
            </w:r>
            <w:proofErr w:type="spellEnd"/>
            <w:r>
              <w:rPr>
                <w:b/>
                <w:bCs/>
                <w:sz w:val="21"/>
                <w:szCs w:val="21"/>
              </w:rPr>
              <w:t xml:space="preserve"> dans lesquels le prestataire de services financiers peut fournir les services de transfert monétaire exigés</w:t>
            </w:r>
            <w:r>
              <w:rPr>
                <w:sz w:val="21"/>
                <w:szCs w:val="21"/>
              </w:rPr>
              <w:t>.</w:t>
            </w:r>
            <w:r>
              <w:rPr>
                <w:bCs/>
                <w:iCs/>
                <w:sz w:val="21"/>
                <w:szCs w:val="21"/>
              </w:rPr>
              <w:t xml:space="preserve"> </w:t>
            </w:r>
            <w:r>
              <w:rPr>
                <w:b/>
                <w:color w:val="1F3864" w:themeColor="accent5" w:themeShade="80"/>
                <w:sz w:val="21"/>
                <w:szCs w:val="21"/>
              </w:rPr>
              <w:t>(</w:t>
            </w:r>
            <w:r>
              <w:rPr>
                <w:b/>
                <w:color w:val="1F3864" w:themeColor="accent5" w:themeShade="80"/>
                <w:sz w:val="21"/>
                <w:szCs w:val="21"/>
                <w:u w:val="single"/>
              </w:rPr>
              <w:t>40 points. Si aucun lot ne peut être couvert, le fournisseur sera automatiquement disqualifié</w:t>
            </w:r>
            <w:r>
              <w:rPr>
                <w:b/>
                <w:color w:val="1F3864" w:themeColor="accent5" w:themeShade="80"/>
                <w:sz w:val="21"/>
                <w:szCs w:val="21"/>
              </w:rPr>
              <w:t>).</w:t>
            </w:r>
            <w:r>
              <w:rPr>
                <w:bCs/>
                <w:iCs/>
                <w:sz w:val="21"/>
                <w:szCs w:val="21"/>
              </w:rPr>
              <w:t xml:space="preserve"> Outre les lots, fournir les informations suivantes :</w:t>
            </w:r>
          </w:p>
          <w:p w14:paraId="4E4D35A2" w14:textId="531E4DBE" w:rsidR="00857277" w:rsidRPr="00687A69" w:rsidRDefault="00D80634" w:rsidP="00F40E26">
            <w:pPr>
              <w:pStyle w:val="Paragraphedeliste"/>
              <w:numPr>
                <w:ilvl w:val="0"/>
                <w:numId w:val="1"/>
              </w:numPr>
              <w:spacing w:before="0" w:beforeAutospacing="0" w:after="0"/>
              <w:rPr>
                <w:rFonts w:asciiTheme="minorHAnsi" w:hAnsiTheme="minorHAnsi" w:cs="Arial"/>
                <w:bCs/>
                <w:iCs/>
                <w:sz w:val="21"/>
                <w:szCs w:val="21"/>
              </w:rPr>
            </w:pPr>
            <w:r>
              <w:rPr>
                <w:rFonts w:asciiTheme="minorHAnsi" w:hAnsiTheme="minorHAnsi"/>
                <w:sz w:val="21"/>
                <w:szCs w:val="21"/>
              </w:rPr>
              <w:t>Pour les lots dans lesquels le prestataire de services financiers peut fournir actuellement des services de transfert monétaire, communiquer une carte détaillée et une liste de tous les points de retrait d’argent : y compris les distributeurs, les agents affiliés et les sous-traitants.</w:t>
            </w:r>
            <w:r>
              <w:rPr>
                <w:rFonts w:asciiTheme="minorHAnsi" w:hAnsiTheme="minorHAnsi"/>
                <w:color w:val="000000"/>
                <w:sz w:val="21"/>
                <w:szCs w:val="21"/>
              </w:rPr>
              <w:t xml:space="preserve">  </w:t>
            </w:r>
          </w:p>
          <w:p w14:paraId="10B0AB33" w14:textId="0691D1A9" w:rsidR="00F33E7F" w:rsidRPr="00687A69" w:rsidRDefault="00F33E7F" w:rsidP="00F40E26">
            <w:pPr>
              <w:pStyle w:val="Paragraphedeliste"/>
              <w:numPr>
                <w:ilvl w:val="0"/>
                <w:numId w:val="1"/>
              </w:numPr>
              <w:spacing w:before="0" w:beforeAutospacing="0" w:after="0"/>
              <w:rPr>
                <w:rFonts w:asciiTheme="minorHAnsi" w:hAnsiTheme="minorHAnsi" w:cs="Arial"/>
                <w:bCs/>
                <w:iCs/>
                <w:sz w:val="21"/>
                <w:szCs w:val="21"/>
              </w:rPr>
            </w:pPr>
            <w:r>
              <w:rPr>
                <w:rFonts w:asciiTheme="minorHAnsi" w:hAnsiTheme="minorHAnsi"/>
                <w:color w:val="000000"/>
                <w:sz w:val="21"/>
                <w:szCs w:val="21"/>
              </w:rPr>
              <w:t>Présenter des preuves et/ou des exemples de l’efficacité de leurs services dans les zones géographiques requises, ou au moins dans des zones se trouvant dans des conditions similaires. </w:t>
            </w:r>
          </w:p>
          <w:p w14:paraId="599E9C24" w14:textId="0E8C5E45" w:rsidR="00DF6A01" w:rsidRPr="00687A69" w:rsidRDefault="00D80634" w:rsidP="00F40E26">
            <w:pPr>
              <w:pStyle w:val="Paragraphedeliste"/>
              <w:numPr>
                <w:ilvl w:val="0"/>
                <w:numId w:val="1"/>
              </w:numPr>
              <w:spacing w:before="0" w:beforeAutospacing="0" w:after="0" w:afterAutospacing="0"/>
              <w:ind w:left="357" w:hanging="357"/>
              <w:rPr>
                <w:rFonts w:asciiTheme="minorHAnsi" w:hAnsiTheme="minorHAnsi" w:cs="Arial"/>
                <w:bCs/>
                <w:iCs/>
                <w:sz w:val="21"/>
                <w:szCs w:val="21"/>
              </w:rPr>
            </w:pPr>
            <w:r>
              <w:rPr>
                <w:rFonts w:asciiTheme="minorHAnsi" w:hAnsiTheme="minorHAnsi"/>
                <w:color w:val="000000"/>
                <w:sz w:val="21"/>
                <w:szCs w:val="21"/>
              </w:rPr>
              <w:t>Si le prestataire de services financiers n’a pas de capacité opérationnelle actuelle pour certains emplacements/lots, mais qu’il pourra étendre sa zone de service, préciser les régions géographiques et la portée maximale des capacités à mettre en place. Les prestataires de services financiers doivent également fournir des renseignements concernant tout partenaire ou sous-contractant à qui ils peuvent faire appel pour étendre leur zone de service.</w:t>
            </w:r>
          </w:p>
        </w:tc>
      </w:tr>
      <w:tr w:rsidR="00DF6A01" w:rsidRPr="00687A69" w14:paraId="5FB4E7D0" w14:textId="77777777" w:rsidTr="00DB08F0">
        <w:trPr>
          <w:trHeight w:val="586"/>
          <w:jc w:val="center"/>
        </w:trPr>
        <w:tc>
          <w:tcPr>
            <w:tcW w:w="147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33FCDF3" w14:textId="77777777" w:rsidR="00DF6A01" w:rsidRPr="00643648" w:rsidRDefault="00DF6A01" w:rsidP="00043A2B">
            <w:pPr>
              <w:spacing w:before="60" w:after="60" w:line="240" w:lineRule="auto"/>
              <w:contextualSpacing/>
              <w:rPr>
                <w:rFonts w:eastAsia="Times New Roman" w:cs="Arial"/>
                <w:sz w:val="21"/>
                <w:szCs w:val="21"/>
                <w:lang w:val="fr-ML" w:eastAsia="en-GB"/>
              </w:rPr>
            </w:pPr>
          </w:p>
          <w:p w14:paraId="76284F64" w14:textId="77777777" w:rsidR="00330EF9" w:rsidRPr="00643648" w:rsidRDefault="00330EF9" w:rsidP="00043A2B">
            <w:pPr>
              <w:spacing w:before="60" w:after="60" w:line="240" w:lineRule="auto"/>
              <w:contextualSpacing/>
              <w:rPr>
                <w:rFonts w:eastAsia="Times New Roman" w:cs="Arial"/>
                <w:sz w:val="21"/>
                <w:szCs w:val="21"/>
                <w:lang w:val="fr-ML" w:eastAsia="en-GB"/>
              </w:rPr>
            </w:pPr>
          </w:p>
          <w:p w14:paraId="41CC8FC9" w14:textId="77777777" w:rsidR="008A01E8" w:rsidRPr="00643648" w:rsidRDefault="008A01E8" w:rsidP="00043A2B">
            <w:pPr>
              <w:spacing w:before="60" w:after="60" w:line="240" w:lineRule="auto"/>
              <w:contextualSpacing/>
              <w:rPr>
                <w:rFonts w:eastAsia="Times New Roman" w:cs="Arial"/>
                <w:sz w:val="21"/>
                <w:szCs w:val="21"/>
                <w:lang w:val="fr-ML" w:eastAsia="en-GB"/>
              </w:rPr>
            </w:pPr>
          </w:p>
        </w:tc>
      </w:tr>
      <w:tr w:rsidR="00D80634" w:rsidRPr="00687A69" w14:paraId="602AA245" w14:textId="77777777" w:rsidTr="00DB08F0">
        <w:trPr>
          <w:trHeight w:val="252"/>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5245F090" w14:textId="2C55C692" w:rsidR="00D80634" w:rsidRPr="00687A69" w:rsidRDefault="00420176" w:rsidP="00043A2B">
            <w:pPr>
              <w:spacing w:before="60" w:after="60" w:line="240" w:lineRule="auto"/>
              <w:contextualSpacing/>
              <w:rPr>
                <w:rFonts w:eastAsia="Times New Roman" w:cs="Arial"/>
                <w:sz w:val="21"/>
                <w:szCs w:val="21"/>
              </w:rPr>
            </w:pPr>
            <w:r>
              <w:rPr>
                <w:b/>
                <w:bCs/>
                <w:iCs/>
                <w:sz w:val="21"/>
                <w:szCs w:val="21"/>
              </w:rPr>
              <w:t>1d)</w:t>
            </w:r>
            <w:r>
              <w:rPr>
                <w:bCs/>
                <w:iCs/>
                <w:sz w:val="21"/>
                <w:szCs w:val="21"/>
              </w:rPr>
              <w:t xml:space="preserve"> Outre les zones géographiques exigées, veuillez énumérer </w:t>
            </w:r>
            <w:r>
              <w:rPr>
                <w:b/>
                <w:bCs/>
                <w:iCs/>
                <w:sz w:val="21"/>
                <w:szCs w:val="21"/>
              </w:rPr>
              <w:t>toutes les autres régions du pays</w:t>
            </w:r>
            <w:r>
              <w:rPr>
                <w:bCs/>
                <w:iCs/>
                <w:sz w:val="21"/>
                <w:szCs w:val="21"/>
              </w:rPr>
              <w:t xml:space="preserve"> où des services de transfert monétaires peuvent être fournis. </w:t>
            </w:r>
            <w:r>
              <w:rPr>
                <w:b/>
                <w:color w:val="1F3864" w:themeColor="accent5" w:themeShade="80"/>
                <w:sz w:val="21"/>
                <w:szCs w:val="21"/>
              </w:rPr>
              <w:t>(</w:t>
            </w:r>
            <w:r>
              <w:rPr>
                <w:b/>
                <w:color w:val="1F3864" w:themeColor="accent5" w:themeShade="80"/>
                <w:sz w:val="21"/>
                <w:szCs w:val="21"/>
                <w:u w:val="single"/>
              </w:rPr>
              <w:t>10 points</w:t>
            </w:r>
            <w:r>
              <w:rPr>
                <w:b/>
                <w:color w:val="1F3864" w:themeColor="accent5" w:themeShade="80"/>
                <w:sz w:val="21"/>
                <w:szCs w:val="21"/>
              </w:rPr>
              <w:t>)</w:t>
            </w:r>
          </w:p>
        </w:tc>
      </w:tr>
      <w:tr w:rsidR="00D80634" w:rsidRPr="00687A69" w14:paraId="005E5081" w14:textId="77777777" w:rsidTr="00DB08F0">
        <w:trPr>
          <w:trHeight w:val="586"/>
          <w:jc w:val="center"/>
        </w:trPr>
        <w:tc>
          <w:tcPr>
            <w:tcW w:w="147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7C6C6FC" w14:textId="77777777" w:rsidR="00D80634" w:rsidRDefault="00D80634" w:rsidP="00043A2B">
            <w:pPr>
              <w:spacing w:before="60" w:after="60" w:line="240" w:lineRule="auto"/>
              <w:contextualSpacing/>
              <w:rPr>
                <w:rFonts w:eastAsia="Times New Roman" w:cs="Arial"/>
                <w:sz w:val="21"/>
                <w:szCs w:val="21"/>
                <w:lang w:val="en" w:eastAsia="en-GB"/>
              </w:rPr>
            </w:pPr>
          </w:p>
          <w:p w14:paraId="037AA831" w14:textId="77777777" w:rsidR="00330EF9" w:rsidRPr="00687A69" w:rsidRDefault="00330EF9" w:rsidP="00043A2B">
            <w:pPr>
              <w:spacing w:before="60" w:after="60" w:line="240" w:lineRule="auto"/>
              <w:contextualSpacing/>
              <w:rPr>
                <w:rFonts w:eastAsia="Times New Roman" w:cs="Arial"/>
                <w:sz w:val="21"/>
                <w:szCs w:val="21"/>
                <w:lang w:val="en" w:eastAsia="en-GB"/>
              </w:rPr>
            </w:pPr>
          </w:p>
          <w:p w14:paraId="3B3BCE18" w14:textId="77777777" w:rsidR="008A01E8" w:rsidRPr="00687A69" w:rsidRDefault="008A01E8" w:rsidP="00043A2B">
            <w:pPr>
              <w:spacing w:before="60" w:after="60" w:line="240" w:lineRule="auto"/>
              <w:contextualSpacing/>
              <w:rPr>
                <w:rFonts w:eastAsia="Times New Roman" w:cs="Arial"/>
                <w:sz w:val="21"/>
                <w:szCs w:val="21"/>
                <w:lang w:val="en" w:eastAsia="en-GB"/>
              </w:rPr>
            </w:pPr>
          </w:p>
        </w:tc>
      </w:tr>
      <w:tr w:rsidR="00DF6A01" w:rsidRPr="00687A69" w14:paraId="12BF4AD0" w14:textId="77777777" w:rsidTr="00DB08F0">
        <w:trPr>
          <w:trHeight w:val="319"/>
          <w:jc w:val="center"/>
        </w:trPr>
        <w:tc>
          <w:tcPr>
            <w:tcW w:w="14769" w:type="dxa"/>
            <w:tcBorders>
              <w:top w:val="single" w:sz="4" w:space="0" w:color="auto"/>
              <w:left w:val="single" w:sz="4" w:space="0" w:color="auto"/>
              <w:bottom w:val="single" w:sz="4" w:space="0" w:color="auto"/>
              <w:right w:val="single" w:sz="8" w:space="0" w:color="auto"/>
            </w:tcBorders>
            <w:shd w:val="clear" w:color="auto" w:fill="DEEAF6" w:themeFill="accent1" w:themeFillTint="33"/>
            <w:tcMar>
              <w:top w:w="0" w:type="dxa"/>
              <w:left w:w="108" w:type="dxa"/>
              <w:bottom w:w="0" w:type="dxa"/>
              <w:right w:w="108" w:type="dxa"/>
            </w:tcMar>
          </w:tcPr>
          <w:p w14:paraId="3A2E0695" w14:textId="31DBDE0B" w:rsidR="00DF6A01" w:rsidRPr="00687A69" w:rsidRDefault="00DF6A01" w:rsidP="00E32268">
            <w:pPr>
              <w:spacing w:before="60" w:after="60"/>
              <w:contextualSpacing/>
              <w:rPr>
                <w:rFonts w:cs="Arial"/>
                <w:i/>
                <w:sz w:val="21"/>
                <w:szCs w:val="21"/>
              </w:rPr>
            </w:pPr>
            <w:r>
              <w:rPr>
                <w:b/>
                <w:sz w:val="21"/>
                <w:szCs w:val="21"/>
              </w:rPr>
              <w:t>2. Système de transfert de fonds proposé</w:t>
            </w:r>
            <w:r>
              <w:rPr>
                <w:sz w:val="21"/>
                <w:szCs w:val="21"/>
              </w:rPr>
              <w:t xml:space="preserve"> </w:t>
            </w:r>
            <w:r>
              <w:rPr>
                <w:b/>
                <w:color w:val="1F3864" w:themeColor="accent5" w:themeShade="80"/>
                <w:sz w:val="21"/>
                <w:szCs w:val="21"/>
              </w:rPr>
              <w:t>(</w:t>
            </w:r>
            <w:r>
              <w:rPr>
                <w:b/>
                <w:color w:val="1F3864" w:themeColor="accent5" w:themeShade="80"/>
                <w:sz w:val="21"/>
                <w:szCs w:val="21"/>
                <w:u w:val="single"/>
              </w:rPr>
              <w:t>150 points au total</w:t>
            </w:r>
            <w:r>
              <w:rPr>
                <w:b/>
                <w:color w:val="1F3864" w:themeColor="accent5" w:themeShade="80"/>
                <w:sz w:val="21"/>
                <w:szCs w:val="21"/>
              </w:rPr>
              <w:t xml:space="preserve">, </w:t>
            </w:r>
            <w:r>
              <w:rPr>
                <w:i/>
                <w:color w:val="1F3864" w:themeColor="accent5" w:themeShade="80"/>
                <w:sz w:val="21"/>
                <w:szCs w:val="21"/>
              </w:rPr>
              <w:t>barème détaillé ci-dessous</w:t>
            </w:r>
            <w:r>
              <w:rPr>
                <w:b/>
                <w:color w:val="1F3864" w:themeColor="accent5" w:themeShade="80"/>
                <w:sz w:val="21"/>
                <w:szCs w:val="21"/>
              </w:rPr>
              <w:t>)</w:t>
            </w:r>
          </w:p>
        </w:tc>
      </w:tr>
      <w:tr w:rsidR="00DF6A01" w:rsidRPr="00687A69" w14:paraId="260521A2" w14:textId="77777777" w:rsidTr="008862E5">
        <w:trPr>
          <w:trHeight w:val="1895"/>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48F27174" w14:textId="6C0BD0B4" w:rsidR="008A01E8" w:rsidRPr="00687A69" w:rsidRDefault="00DF6A01" w:rsidP="008862E5">
            <w:pPr>
              <w:spacing w:before="60" w:after="0" w:line="240" w:lineRule="auto"/>
              <w:contextualSpacing/>
              <w:rPr>
                <w:rFonts w:eastAsia="Times New Roman" w:cs="Arial"/>
                <w:sz w:val="21"/>
                <w:szCs w:val="21"/>
              </w:rPr>
            </w:pPr>
            <w:r>
              <w:rPr>
                <w:b/>
                <w:sz w:val="21"/>
                <w:szCs w:val="21"/>
              </w:rPr>
              <w:t>2a)</w:t>
            </w:r>
            <w:r>
              <w:rPr>
                <w:sz w:val="21"/>
                <w:szCs w:val="21"/>
              </w:rPr>
              <w:t xml:space="preserve"> Fournir une description détaillée du </w:t>
            </w:r>
            <w:r>
              <w:rPr>
                <w:b/>
                <w:bCs/>
                <w:sz w:val="21"/>
                <w:szCs w:val="21"/>
              </w:rPr>
              <w:t>système de transfert de fonds proposé</w:t>
            </w:r>
            <w:r>
              <w:rPr>
                <w:sz w:val="21"/>
                <w:szCs w:val="21"/>
              </w:rPr>
              <w:t>, et préciser :</w:t>
            </w:r>
          </w:p>
          <w:p w14:paraId="2603AC64" w14:textId="14912A37" w:rsidR="007A42EA" w:rsidRPr="003A3F8D" w:rsidRDefault="00FA7B2D" w:rsidP="008862E5">
            <w:pPr>
              <w:pStyle w:val="Paragraphedeliste"/>
              <w:spacing w:before="0" w:beforeAutospacing="0" w:after="0"/>
              <w:ind w:left="733" w:hanging="360"/>
              <w:contextualSpacing/>
              <w:rPr>
                <w:rFonts w:asciiTheme="minorHAnsi" w:hAnsiTheme="minorHAnsi" w:cs="Arial"/>
                <w:sz w:val="21"/>
                <w:szCs w:val="21"/>
              </w:rPr>
            </w:pPr>
            <w:r>
              <w:rPr>
                <w:rFonts w:asciiTheme="minorHAnsi" w:hAnsiTheme="minorHAnsi"/>
                <w:sz w:val="21"/>
                <w:szCs w:val="21"/>
              </w:rPr>
              <w:t xml:space="preserve">1) Indiquer si le fournisseur peut respecter les </w:t>
            </w:r>
            <w:r w:rsidR="00F662AF">
              <w:rPr>
                <w:rFonts w:asciiTheme="minorHAnsi" w:hAnsiTheme="minorHAnsi"/>
                <w:sz w:val="21"/>
                <w:szCs w:val="21"/>
              </w:rPr>
              <w:t>7</w:t>
            </w:r>
            <w:r>
              <w:rPr>
                <w:rFonts w:asciiTheme="minorHAnsi" w:hAnsiTheme="minorHAnsi"/>
                <w:b/>
                <w:sz w:val="21"/>
                <w:szCs w:val="21"/>
                <w:u w:val="single"/>
              </w:rPr>
              <w:t> critères minimaux</w:t>
            </w:r>
            <w:r>
              <w:rPr>
                <w:rFonts w:asciiTheme="minorHAnsi" w:hAnsiTheme="minorHAnsi"/>
                <w:sz w:val="21"/>
                <w:szCs w:val="21"/>
                <w:u w:val="single"/>
              </w:rPr>
              <w:t xml:space="preserve"> applicables à chaque mécanisme d’exécution</w:t>
            </w:r>
            <w:r>
              <w:rPr>
                <w:rFonts w:asciiTheme="minorHAnsi" w:hAnsiTheme="minorHAnsi"/>
                <w:sz w:val="21"/>
                <w:szCs w:val="21"/>
              </w:rPr>
              <w:t xml:space="preserve"> énumérés en Annexe A - Termes de référence. Dans le cas contraire, décrire tout autre arrangement permettant la fourniture des services de transfert monétaire demandés </w:t>
            </w:r>
            <w:r>
              <w:rPr>
                <w:rFonts w:asciiTheme="minorHAnsi" w:hAnsiTheme="minorHAnsi"/>
                <w:b/>
                <w:color w:val="1F4E79" w:themeColor="accent1" w:themeShade="80"/>
                <w:sz w:val="21"/>
                <w:szCs w:val="21"/>
              </w:rPr>
              <w:t>(</w:t>
            </w:r>
            <w:r>
              <w:rPr>
                <w:rFonts w:asciiTheme="minorHAnsi" w:hAnsiTheme="minorHAnsi"/>
                <w:b/>
                <w:color w:val="1F4E79" w:themeColor="accent1" w:themeShade="80"/>
                <w:sz w:val="21"/>
                <w:szCs w:val="21"/>
                <w:u w:val="single"/>
              </w:rPr>
              <w:t>échec/réussite</w:t>
            </w:r>
            <w:r>
              <w:rPr>
                <w:rFonts w:asciiTheme="minorHAnsi" w:hAnsiTheme="minorHAnsi"/>
                <w:b/>
                <w:color w:val="1F4E79" w:themeColor="accent1" w:themeShade="80"/>
                <w:sz w:val="21"/>
                <w:szCs w:val="21"/>
              </w:rPr>
              <w:t>)</w:t>
            </w:r>
            <w:r w:rsidR="00694926">
              <w:rPr>
                <w:rFonts w:asciiTheme="minorHAnsi" w:hAnsiTheme="minorHAnsi"/>
                <w:sz w:val="21"/>
                <w:szCs w:val="21"/>
              </w:rPr>
              <w:t> </w:t>
            </w:r>
            <w:r>
              <w:rPr>
                <w:rFonts w:asciiTheme="minorHAnsi" w:hAnsiTheme="minorHAnsi"/>
                <w:sz w:val="21"/>
                <w:szCs w:val="21"/>
              </w:rPr>
              <w:t xml:space="preserve">; </w:t>
            </w:r>
          </w:p>
          <w:p w14:paraId="6FB7735E" w14:textId="5CC832C0" w:rsidR="00DB4DD1" w:rsidRDefault="00FA7B2D" w:rsidP="008862E5">
            <w:pPr>
              <w:pStyle w:val="Paragraphedeliste"/>
              <w:spacing w:before="0" w:beforeAutospacing="0" w:after="0"/>
              <w:ind w:left="733" w:hanging="360"/>
              <w:contextualSpacing/>
              <w:rPr>
                <w:rFonts w:asciiTheme="minorHAnsi" w:hAnsiTheme="minorHAnsi" w:cs="Arial"/>
                <w:sz w:val="21"/>
                <w:szCs w:val="21"/>
              </w:rPr>
            </w:pPr>
            <w:r>
              <w:rPr>
                <w:rFonts w:asciiTheme="minorHAnsi" w:hAnsiTheme="minorHAnsi"/>
                <w:sz w:val="21"/>
                <w:szCs w:val="21"/>
              </w:rPr>
              <w:t xml:space="preserve">2) Si applicable, indiquer si le fournisseur peut respecter les </w:t>
            </w:r>
            <w:r>
              <w:rPr>
                <w:rFonts w:asciiTheme="minorHAnsi" w:hAnsiTheme="minorHAnsi"/>
                <w:sz w:val="21"/>
                <w:szCs w:val="21"/>
                <w:u w:val="single"/>
              </w:rPr>
              <w:t xml:space="preserve">normes </w:t>
            </w:r>
            <w:r>
              <w:rPr>
                <w:rFonts w:asciiTheme="minorHAnsi" w:hAnsiTheme="minorHAnsi"/>
                <w:b/>
                <w:bCs/>
                <w:sz w:val="21"/>
                <w:szCs w:val="21"/>
                <w:u w:val="single"/>
              </w:rPr>
              <w:t>obligatoires</w:t>
            </w:r>
            <w:r>
              <w:rPr>
                <w:rFonts w:asciiTheme="minorHAnsi" w:hAnsiTheme="minorHAnsi"/>
                <w:sz w:val="21"/>
                <w:szCs w:val="21"/>
                <w:u w:val="single"/>
              </w:rPr>
              <w:t xml:space="preserve"> applicables au mécanisme d’exécution donné</w:t>
            </w:r>
            <w:r>
              <w:rPr>
                <w:rFonts w:asciiTheme="minorHAnsi" w:hAnsiTheme="minorHAnsi"/>
                <w:sz w:val="21"/>
                <w:szCs w:val="21"/>
              </w:rPr>
              <w:t xml:space="preserve"> énumérés en Annexe A - Termes de référence. Dans le cas contraire, décrire tout autre arrangement permettant la fourniture des services de transfert monétaire demandés </w:t>
            </w:r>
            <w:r>
              <w:rPr>
                <w:rFonts w:asciiTheme="minorHAnsi" w:hAnsiTheme="minorHAnsi"/>
                <w:b/>
                <w:color w:val="1F4E79" w:themeColor="accent1" w:themeShade="80"/>
                <w:sz w:val="21"/>
                <w:szCs w:val="21"/>
              </w:rPr>
              <w:t>(</w:t>
            </w:r>
            <w:r>
              <w:rPr>
                <w:rFonts w:asciiTheme="minorHAnsi" w:hAnsiTheme="minorHAnsi"/>
                <w:b/>
                <w:color w:val="1F4E79" w:themeColor="accent1" w:themeShade="80"/>
                <w:sz w:val="21"/>
                <w:szCs w:val="21"/>
                <w:u w:val="single"/>
              </w:rPr>
              <w:t>échec/réussite</w:t>
            </w:r>
            <w:r>
              <w:rPr>
                <w:rFonts w:asciiTheme="minorHAnsi" w:hAnsiTheme="minorHAnsi"/>
                <w:b/>
                <w:color w:val="1F4E79" w:themeColor="accent1" w:themeShade="80"/>
                <w:sz w:val="21"/>
                <w:szCs w:val="21"/>
              </w:rPr>
              <w:t>)</w:t>
            </w:r>
            <w:r w:rsidR="00694926">
              <w:rPr>
                <w:rFonts w:asciiTheme="minorHAnsi" w:hAnsiTheme="minorHAnsi"/>
                <w:sz w:val="21"/>
                <w:szCs w:val="21"/>
              </w:rPr>
              <w:t> </w:t>
            </w:r>
            <w:r>
              <w:rPr>
                <w:rFonts w:asciiTheme="minorHAnsi" w:hAnsiTheme="minorHAnsi"/>
                <w:sz w:val="21"/>
                <w:szCs w:val="21"/>
              </w:rPr>
              <w:t>;</w:t>
            </w:r>
          </w:p>
          <w:p w14:paraId="4FA5C861" w14:textId="32C4137C" w:rsidR="008A01E8" w:rsidRPr="003775FD" w:rsidRDefault="00FA7B2D" w:rsidP="008862E5">
            <w:pPr>
              <w:pStyle w:val="Paragraphedeliste"/>
              <w:spacing w:before="0" w:beforeAutospacing="0" w:after="0"/>
              <w:ind w:left="733" w:hanging="360"/>
              <w:contextualSpacing/>
              <w:rPr>
                <w:rFonts w:asciiTheme="minorHAnsi" w:hAnsiTheme="minorHAnsi" w:cs="Arial"/>
                <w:sz w:val="21"/>
                <w:szCs w:val="21"/>
              </w:rPr>
            </w:pPr>
            <w:r>
              <w:rPr>
                <w:rFonts w:asciiTheme="minorHAnsi" w:hAnsiTheme="minorHAnsi"/>
                <w:sz w:val="21"/>
                <w:szCs w:val="21"/>
              </w:rPr>
              <w:t xml:space="preserve">3) Si applicable, indiquer si le prestataire peut respecter les </w:t>
            </w:r>
            <w:r>
              <w:rPr>
                <w:rFonts w:asciiTheme="minorHAnsi" w:hAnsiTheme="minorHAnsi"/>
                <w:sz w:val="21"/>
                <w:szCs w:val="21"/>
                <w:u w:val="single"/>
              </w:rPr>
              <w:t xml:space="preserve">normes </w:t>
            </w:r>
            <w:r>
              <w:rPr>
                <w:rFonts w:asciiTheme="minorHAnsi" w:hAnsiTheme="minorHAnsi"/>
                <w:b/>
                <w:bCs/>
                <w:sz w:val="21"/>
                <w:szCs w:val="21"/>
                <w:u w:val="single"/>
              </w:rPr>
              <w:t>recommandées</w:t>
            </w:r>
            <w:r>
              <w:rPr>
                <w:rFonts w:asciiTheme="minorHAnsi" w:hAnsiTheme="minorHAnsi"/>
                <w:sz w:val="21"/>
                <w:szCs w:val="21"/>
                <w:u w:val="single"/>
              </w:rPr>
              <w:t xml:space="preserve"> applicables au mécanisme d’exécution</w:t>
            </w:r>
            <w:r>
              <w:rPr>
                <w:rFonts w:asciiTheme="minorHAnsi" w:hAnsiTheme="minorHAnsi"/>
                <w:sz w:val="21"/>
                <w:szCs w:val="21"/>
              </w:rPr>
              <w:t xml:space="preserve"> énumérés en Annexe A - Termes de référence. Dans le cas contraire, décrire tout autre arrangement permettant la fourniture des services de transfert monétaire demandés </w:t>
            </w:r>
            <w:r>
              <w:rPr>
                <w:rFonts w:asciiTheme="minorHAnsi" w:hAnsiTheme="minorHAnsi"/>
                <w:b/>
                <w:color w:val="1F4E79" w:themeColor="accent1" w:themeShade="80"/>
                <w:sz w:val="21"/>
                <w:szCs w:val="21"/>
              </w:rPr>
              <w:t>(</w:t>
            </w:r>
            <w:r>
              <w:rPr>
                <w:rFonts w:asciiTheme="minorHAnsi" w:hAnsiTheme="minorHAnsi"/>
                <w:b/>
                <w:color w:val="1F4E79" w:themeColor="accent1" w:themeShade="80"/>
                <w:sz w:val="21"/>
                <w:szCs w:val="21"/>
                <w:u w:val="single"/>
              </w:rPr>
              <w:t>20 points</w:t>
            </w:r>
            <w:r>
              <w:rPr>
                <w:rFonts w:asciiTheme="minorHAnsi" w:hAnsiTheme="minorHAnsi"/>
                <w:b/>
                <w:color w:val="1F4E79" w:themeColor="accent1" w:themeShade="80"/>
                <w:sz w:val="21"/>
                <w:szCs w:val="21"/>
              </w:rPr>
              <w:t>)</w:t>
            </w:r>
            <w:r w:rsidR="00694926">
              <w:rPr>
                <w:rFonts w:asciiTheme="minorHAnsi" w:hAnsiTheme="minorHAnsi"/>
                <w:b/>
                <w:color w:val="1F4E79" w:themeColor="accent1" w:themeShade="80"/>
                <w:sz w:val="21"/>
                <w:szCs w:val="21"/>
              </w:rPr>
              <w:t> </w:t>
            </w:r>
            <w:r>
              <w:rPr>
                <w:rFonts w:asciiTheme="minorHAnsi" w:hAnsiTheme="minorHAnsi"/>
                <w:sz w:val="21"/>
                <w:szCs w:val="21"/>
              </w:rPr>
              <w:t xml:space="preserve">; </w:t>
            </w:r>
          </w:p>
        </w:tc>
      </w:tr>
      <w:tr w:rsidR="00FB3E51" w:rsidRPr="00687A69" w14:paraId="5BDC92EA" w14:textId="77777777" w:rsidTr="00DB08F0">
        <w:trPr>
          <w:trHeight w:val="515"/>
          <w:jc w:val="center"/>
        </w:trPr>
        <w:tc>
          <w:tcPr>
            <w:tcW w:w="147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1CAD868" w14:textId="77777777" w:rsidR="00FB3E51" w:rsidRPr="00687A69" w:rsidRDefault="00FB3E51" w:rsidP="00043A2B">
            <w:pPr>
              <w:spacing w:before="60" w:after="60" w:line="240" w:lineRule="auto"/>
              <w:contextualSpacing/>
              <w:rPr>
                <w:rFonts w:eastAsia="Times New Roman" w:cs="Arial"/>
                <w:sz w:val="21"/>
                <w:szCs w:val="21"/>
                <w:lang w:eastAsia="en-GB"/>
              </w:rPr>
            </w:pPr>
          </w:p>
          <w:p w14:paraId="445E712B" w14:textId="77777777" w:rsidR="008A01E8" w:rsidRDefault="008A01E8" w:rsidP="00043A2B">
            <w:pPr>
              <w:spacing w:before="60" w:after="60" w:line="240" w:lineRule="auto"/>
              <w:contextualSpacing/>
              <w:rPr>
                <w:rFonts w:eastAsia="Times New Roman" w:cs="Arial"/>
                <w:sz w:val="21"/>
                <w:szCs w:val="21"/>
                <w:lang w:eastAsia="en-GB"/>
              </w:rPr>
            </w:pPr>
          </w:p>
          <w:p w14:paraId="21F55578" w14:textId="77777777" w:rsidR="00330EF9" w:rsidRPr="00687A69" w:rsidRDefault="00330EF9" w:rsidP="00043A2B">
            <w:pPr>
              <w:spacing w:before="60" w:after="60" w:line="240" w:lineRule="auto"/>
              <w:contextualSpacing/>
              <w:rPr>
                <w:rFonts w:eastAsia="Times New Roman" w:cs="Arial"/>
                <w:sz w:val="21"/>
                <w:szCs w:val="21"/>
                <w:lang w:eastAsia="en-GB"/>
              </w:rPr>
            </w:pPr>
          </w:p>
        </w:tc>
      </w:tr>
      <w:tr w:rsidR="00FA7B2D" w:rsidRPr="00687A69" w14:paraId="1C79F2CF" w14:textId="77777777" w:rsidTr="00FA7B2D">
        <w:trPr>
          <w:trHeight w:val="515"/>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7848D0AA" w14:textId="275214FD" w:rsidR="00FA7B2D" w:rsidRPr="00687A69" w:rsidRDefault="00FA7B2D" w:rsidP="00043A2B">
            <w:pPr>
              <w:spacing w:before="60" w:after="60" w:line="240" w:lineRule="auto"/>
              <w:contextualSpacing/>
              <w:rPr>
                <w:rFonts w:eastAsia="Times New Roman" w:cs="Arial"/>
                <w:sz w:val="21"/>
                <w:szCs w:val="21"/>
              </w:rPr>
            </w:pPr>
            <w:r>
              <w:rPr>
                <w:b/>
                <w:color w:val="000000"/>
                <w:sz w:val="21"/>
                <w:szCs w:val="21"/>
              </w:rPr>
              <w:t>2b)</w:t>
            </w:r>
            <w:r>
              <w:rPr>
                <w:color w:val="000000"/>
                <w:sz w:val="21"/>
                <w:szCs w:val="21"/>
              </w:rPr>
              <w:t xml:space="preserve"> Fournir des détails concernant l’accessibilité des services du fournisseur (notamment ce qui pourrait être développé dans le cadre du projet), par exemple, la disponibilité du réseau de télécommunication ou la disponibilité d’agents/succursales. </w:t>
            </w:r>
            <w:r>
              <w:rPr>
                <w:sz w:val="21"/>
                <w:szCs w:val="21"/>
              </w:rPr>
              <w:t xml:space="preserve">Inclure une description du réseau d’infrastructures et de communication nécessaire aux transactions (c’est-à-dire réseau de succursales/distributeurs/agents, tour relais, etc.) </w:t>
            </w:r>
            <w:r>
              <w:rPr>
                <w:color w:val="000000"/>
                <w:sz w:val="21"/>
                <w:szCs w:val="21"/>
              </w:rPr>
              <w:t xml:space="preserve">et fournir la preuve que le réseau d’infrastructures existant ou prévu satisfait aux seuils exigés décrits en Annexe A. Pour les composants de l’infrastructure et/ou du réseau nécessaires pour garantir que les services de transfert soient opérationnels et qui n’appartiennent pas au prestataire de services financiers ou ne sont pas pris en charge par celui-ci, l’offre doit préciser les mécanismes à travers desquels le prestataire assurera la qualité et l’efficacité du service de transfert </w:t>
            </w:r>
            <w:r>
              <w:rPr>
                <w:b/>
                <w:color w:val="1F4E79" w:themeColor="accent1" w:themeShade="80"/>
                <w:sz w:val="21"/>
                <w:szCs w:val="21"/>
              </w:rPr>
              <w:t>(</w:t>
            </w:r>
            <w:r>
              <w:rPr>
                <w:b/>
                <w:color w:val="1F4E79" w:themeColor="accent1" w:themeShade="80"/>
                <w:sz w:val="21"/>
                <w:szCs w:val="21"/>
                <w:u w:val="single"/>
              </w:rPr>
              <w:t>20 points</w:t>
            </w:r>
            <w:r>
              <w:rPr>
                <w:b/>
                <w:color w:val="1F4E79" w:themeColor="accent1" w:themeShade="80"/>
                <w:sz w:val="21"/>
                <w:szCs w:val="21"/>
              </w:rPr>
              <w:t>)</w:t>
            </w:r>
            <w:r w:rsidR="00694926">
              <w:rPr>
                <w:b/>
                <w:color w:val="1F4E79" w:themeColor="accent1" w:themeShade="80"/>
                <w:sz w:val="21"/>
                <w:szCs w:val="21"/>
              </w:rPr>
              <w:t> </w:t>
            </w:r>
            <w:r>
              <w:rPr>
                <w:sz w:val="21"/>
                <w:szCs w:val="21"/>
              </w:rPr>
              <w:t>;</w:t>
            </w:r>
          </w:p>
        </w:tc>
      </w:tr>
      <w:tr w:rsidR="00FA7B2D" w:rsidRPr="00687A69" w14:paraId="5B89A288" w14:textId="77777777" w:rsidTr="00DB08F0">
        <w:trPr>
          <w:trHeight w:val="515"/>
          <w:jc w:val="center"/>
        </w:trPr>
        <w:tc>
          <w:tcPr>
            <w:tcW w:w="147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0952529" w14:textId="77777777" w:rsidR="00FA7B2D" w:rsidRDefault="00FA7B2D" w:rsidP="00043A2B">
            <w:pPr>
              <w:spacing w:before="60" w:after="60" w:line="240" w:lineRule="auto"/>
              <w:contextualSpacing/>
              <w:rPr>
                <w:rFonts w:eastAsia="Times New Roman" w:cs="Arial"/>
                <w:sz w:val="21"/>
                <w:szCs w:val="21"/>
                <w:lang w:eastAsia="en-GB"/>
              </w:rPr>
            </w:pPr>
          </w:p>
          <w:p w14:paraId="44BF4061" w14:textId="77777777" w:rsidR="00431C55" w:rsidRDefault="00431C55" w:rsidP="00043A2B">
            <w:pPr>
              <w:spacing w:before="60" w:after="60" w:line="240" w:lineRule="auto"/>
              <w:contextualSpacing/>
              <w:rPr>
                <w:rFonts w:eastAsia="Times New Roman" w:cs="Arial"/>
                <w:sz w:val="21"/>
                <w:szCs w:val="21"/>
                <w:lang w:eastAsia="en-GB"/>
              </w:rPr>
            </w:pPr>
          </w:p>
          <w:p w14:paraId="6C92EC8C" w14:textId="77777777" w:rsidR="00431C55" w:rsidRPr="00687A69" w:rsidRDefault="00431C55" w:rsidP="00043A2B">
            <w:pPr>
              <w:spacing w:before="60" w:after="60" w:line="240" w:lineRule="auto"/>
              <w:contextualSpacing/>
              <w:rPr>
                <w:rFonts w:eastAsia="Times New Roman" w:cs="Arial"/>
                <w:sz w:val="21"/>
                <w:szCs w:val="21"/>
                <w:lang w:eastAsia="en-GB"/>
              </w:rPr>
            </w:pPr>
          </w:p>
        </w:tc>
      </w:tr>
      <w:tr w:rsidR="00FA7B2D" w:rsidRPr="00687A69" w14:paraId="4CCADC5E" w14:textId="77777777" w:rsidTr="00FA7B2D">
        <w:trPr>
          <w:trHeight w:val="515"/>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0E3CC7D5" w14:textId="6840F3C0" w:rsidR="00FA7B2D" w:rsidRPr="00687A69" w:rsidRDefault="00FA7B2D" w:rsidP="00043A2B">
            <w:pPr>
              <w:spacing w:before="60" w:after="60" w:line="240" w:lineRule="auto"/>
              <w:contextualSpacing/>
              <w:rPr>
                <w:rFonts w:eastAsia="Times New Roman" w:cs="Arial"/>
                <w:sz w:val="21"/>
                <w:szCs w:val="21"/>
              </w:rPr>
            </w:pPr>
            <w:r>
              <w:rPr>
                <w:b/>
                <w:color w:val="000000"/>
                <w:sz w:val="21"/>
                <w:szCs w:val="21"/>
              </w:rPr>
              <w:t>2c)</w:t>
            </w:r>
            <w:r>
              <w:rPr>
                <w:color w:val="000000"/>
                <w:sz w:val="21"/>
                <w:szCs w:val="21"/>
              </w:rPr>
              <w:t xml:space="preserve"> Préciser la capacité du fournisseur à garantir suffisamment de liquidités pour effectuer des décaissements, en fonction des volumes requis, et la ou les devises qui seront utilisées, aux différents emplacements géographiques précisés </w:t>
            </w:r>
            <w:r>
              <w:rPr>
                <w:b/>
                <w:color w:val="1F4E79" w:themeColor="accent1" w:themeShade="80"/>
                <w:sz w:val="21"/>
                <w:szCs w:val="21"/>
              </w:rPr>
              <w:t>(</w:t>
            </w:r>
            <w:r>
              <w:rPr>
                <w:b/>
                <w:color w:val="1F4E79" w:themeColor="accent1" w:themeShade="80"/>
                <w:sz w:val="21"/>
                <w:szCs w:val="21"/>
                <w:u w:val="single"/>
              </w:rPr>
              <w:t>20 points</w:t>
            </w:r>
            <w:r>
              <w:rPr>
                <w:b/>
                <w:color w:val="1F4E79" w:themeColor="accent1" w:themeShade="80"/>
                <w:sz w:val="21"/>
                <w:szCs w:val="21"/>
              </w:rPr>
              <w:t>)</w:t>
            </w:r>
            <w:r w:rsidR="00694926">
              <w:rPr>
                <w:b/>
                <w:color w:val="1F4E79" w:themeColor="accent1" w:themeShade="80"/>
                <w:sz w:val="21"/>
                <w:szCs w:val="21"/>
              </w:rPr>
              <w:t> </w:t>
            </w:r>
            <w:r>
              <w:rPr>
                <w:color w:val="000000"/>
                <w:sz w:val="21"/>
                <w:szCs w:val="21"/>
              </w:rPr>
              <w:t>;</w:t>
            </w:r>
          </w:p>
        </w:tc>
      </w:tr>
      <w:tr w:rsidR="00FA7B2D" w:rsidRPr="00687A69" w14:paraId="0EAF8062" w14:textId="77777777" w:rsidTr="00DB08F0">
        <w:trPr>
          <w:trHeight w:val="515"/>
          <w:jc w:val="center"/>
        </w:trPr>
        <w:tc>
          <w:tcPr>
            <w:tcW w:w="147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815A2B3" w14:textId="77777777" w:rsidR="00FA7B2D" w:rsidRDefault="00FA7B2D" w:rsidP="00043A2B">
            <w:pPr>
              <w:spacing w:before="60" w:after="60" w:line="240" w:lineRule="auto"/>
              <w:contextualSpacing/>
              <w:rPr>
                <w:rFonts w:eastAsia="Times New Roman" w:cs="Arial"/>
                <w:sz w:val="21"/>
                <w:szCs w:val="21"/>
                <w:lang w:eastAsia="en-GB"/>
              </w:rPr>
            </w:pPr>
          </w:p>
          <w:p w14:paraId="710FA895" w14:textId="77777777" w:rsidR="00431C55" w:rsidRDefault="00431C55" w:rsidP="00043A2B">
            <w:pPr>
              <w:spacing w:before="60" w:after="60" w:line="240" w:lineRule="auto"/>
              <w:contextualSpacing/>
              <w:rPr>
                <w:rFonts w:eastAsia="Times New Roman" w:cs="Arial"/>
                <w:sz w:val="21"/>
                <w:szCs w:val="21"/>
                <w:lang w:eastAsia="en-GB"/>
              </w:rPr>
            </w:pPr>
          </w:p>
          <w:p w14:paraId="27AF6481" w14:textId="77777777" w:rsidR="00431C55" w:rsidRPr="00687A69" w:rsidRDefault="00431C55" w:rsidP="00043A2B">
            <w:pPr>
              <w:spacing w:before="60" w:after="60" w:line="240" w:lineRule="auto"/>
              <w:contextualSpacing/>
              <w:rPr>
                <w:rFonts w:eastAsia="Times New Roman" w:cs="Arial"/>
                <w:sz w:val="21"/>
                <w:szCs w:val="21"/>
                <w:lang w:eastAsia="en-GB"/>
              </w:rPr>
            </w:pPr>
          </w:p>
        </w:tc>
      </w:tr>
      <w:tr w:rsidR="00FA7B2D" w:rsidRPr="00687A69" w14:paraId="5F79A8AA" w14:textId="77777777" w:rsidTr="008862E5">
        <w:trPr>
          <w:trHeight w:val="316"/>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44786822" w14:textId="77777777" w:rsidR="00FA7B2D" w:rsidRDefault="00FA7B2D" w:rsidP="008862E5">
            <w:pPr>
              <w:spacing w:before="60" w:after="60" w:line="240" w:lineRule="auto"/>
              <w:contextualSpacing/>
              <w:rPr>
                <w:sz w:val="21"/>
                <w:szCs w:val="21"/>
              </w:rPr>
            </w:pPr>
            <w:r>
              <w:rPr>
                <w:b/>
                <w:sz w:val="21"/>
                <w:szCs w:val="21"/>
              </w:rPr>
              <w:t>2d)</w:t>
            </w:r>
            <w:r>
              <w:rPr>
                <w:sz w:val="21"/>
                <w:szCs w:val="21"/>
              </w:rPr>
              <w:t xml:space="preserve"> Fournir des détails concernant la capacité de tout prestataire/sous-traitant, y compris les agents de terrain, à fournir des services de transfert monétaire </w:t>
            </w:r>
            <w:r>
              <w:rPr>
                <w:b/>
                <w:color w:val="1F4E79" w:themeColor="accent1" w:themeShade="80"/>
                <w:sz w:val="21"/>
                <w:szCs w:val="21"/>
              </w:rPr>
              <w:t>(</w:t>
            </w:r>
            <w:r>
              <w:rPr>
                <w:b/>
                <w:color w:val="1F4E79" w:themeColor="accent1" w:themeShade="80"/>
                <w:sz w:val="21"/>
                <w:szCs w:val="21"/>
                <w:u w:val="single"/>
              </w:rPr>
              <w:t>20 points</w:t>
            </w:r>
            <w:r>
              <w:rPr>
                <w:b/>
                <w:color w:val="1F4E79" w:themeColor="accent1" w:themeShade="80"/>
                <w:sz w:val="21"/>
                <w:szCs w:val="21"/>
              </w:rPr>
              <w:t>)</w:t>
            </w:r>
            <w:r>
              <w:rPr>
                <w:sz w:val="21"/>
                <w:szCs w:val="21"/>
              </w:rPr>
              <w:t>.</w:t>
            </w:r>
          </w:p>
          <w:p w14:paraId="6FA07B31" w14:textId="64E29938" w:rsidR="00A46A80" w:rsidRPr="00043A2B" w:rsidRDefault="00A46A80" w:rsidP="00F716CE">
            <w:pPr>
              <w:spacing w:before="60" w:after="60" w:line="240" w:lineRule="auto"/>
              <w:contextualSpacing/>
              <w:rPr>
                <w:rFonts w:eastAsia="Times New Roman" w:cs="Arial"/>
                <w:i/>
                <w:iCs/>
                <w:sz w:val="21"/>
                <w:szCs w:val="21"/>
              </w:rPr>
            </w:pPr>
            <w:r w:rsidRPr="00043A2B">
              <w:rPr>
                <w:rFonts w:eastAsia="Times New Roman" w:cs="Arial"/>
                <w:i/>
                <w:iCs/>
                <w:sz w:val="21"/>
                <w:szCs w:val="21"/>
              </w:rPr>
              <w:t>2</w:t>
            </w:r>
            <w:r w:rsidR="000029A7" w:rsidRPr="00043A2B">
              <w:rPr>
                <w:rFonts w:eastAsia="Times New Roman" w:cs="Arial"/>
                <w:i/>
                <w:iCs/>
                <w:sz w:val="21"/>
                <w:szCs w:val="21"/>
              </w:rPr>
              <w:t>d) 1- Dans le cas d’argent mobile</w:t>
            </w:r>
            <w:r w:rsidR="00F716CE" w:rsidRPr="00043A2B">
              <w:rPr>
                <w:rFonts w:eastAsia="Times New Roman" w:cs="Arial"/>
                <w:i/>
                <w:iCs/>
                <w:sz w:val="21"/>
                <w:szCs w:val="21"/>
              </w:rPr>
              <w:t xml:space="preserve"> : </w:t>
            </w:r>
            <w:r w:rsidR="00F716CE" w:rsidRPr="00043A2B">
              <w:rPr>
                <w:rFonts w:cs="Arial"/>
                <w:i/>
                <w:iCs/>
                <w:sz w:val="21"/>
                <w:szCs w:val="21"/>
              </w:rPr>
              <w:t>P</w:t>
            </w:r>
            <w:r w:rsidR="000029A7" w:rsidRPr="00043A2B">
              <w:rPr>
                <w:rFonts w:eastAsia="Times New Roman" w:cs="Arial"/>
                <w:i/>
                <w:iCs/>
                <w:sz w:val="21"/>
                <w:szCs w:val="21"/>
              </w:rPr>
              <w:t>réciser les solutions proposées à effectuer des paiements dans des zones à faible ou pas de couverture GSM et internet (itinérance)</w:t>
            </w:r>
          </w:p>
          <w:p w14:paraId="2BC27E72" w14:textId="4534473B" w:rsidR="00F716CE" w:rsidRPr="00687A69" w:rsidRDefault="0067271F" w:rsidP="008862E5">
            <w:pPr>
              <w:spacing w:before="60" w:after="60" w:line="240" w:lineRule="auto"/>
              <w:contextualSpacing/>
              <w:rPr>
                <w:rFonts w:eastAsia="Times New Roman" w:cs="Arial"/>
                <w:sz w:val="21"/>
                <w:szCs w:val="21"/>
              </w:rPr>
            </w:pPr>
            <w:r w:rsidRPr="00043A2B">
              <w:rPr>
                <w:rFonts w:eastAsia="Times New Roman" w:cs="Arial"/>
                <w:i/>
                <w:iCs/>
                <w:sz w:val="21"/>
                <w:szCs w:val="21"/>
              </w:rPr>
              <w:t xml:space="preserve">Et </w:t>
            </w:r>
            <w:r w:rsidR="00F716CE" w:rsidRPr="00043A2B">
              <w:rPr>
                <w:rFonts w:eastAsia="Times New Roman" w:cs="Arial"/>
                <w:i/>
                <w:iCs/>
                <w:sz w:val="21"/>
                <w:szCs w:val="21"/>
              </w:rPr>
              <w:t xml:space="preserve">-2 </w:t>
            </w:r>
            <w:r w:rsidRPr="00043A2B">
              <w:rPr>
                <w:rFonts w:eastAsia="Times New Roman" w:cs="Arial"/>
                <w:i/>
                <w:iCs/>
                <w:sz w:val="21"/>
                <w:szCs w:val="21"/>
              </w:rPr>
              <w:t>les solutions proposées pour la provision des cartes SIM et téléphone aux r</w:t>
            </w:r>
            <w:r w:rsidR="00ED508F" w:rsidRPr="00043A2B">
              <w:rPr>
                <w:rFonts w:eastAsia="Times New Roman" w:cs="Arial"/>
                <w:i/>
                <w:iCs/>
                <w:sz w:val="21"/>
                <w:szCs w:val="21"/>
              </w:rPr>
              <w:t>é</w:t>
            </w:r>
            <w:r w:rsidRPr="00043A2B">
              <w:rPr>
                <w:rFonts w:eastAsia="Times New Roman" w:cs="Arial"/>
                <w:i/>
                <w:iCs/>
                <w:sz w:val="21"/>
                <w:szCs w:val="21"/>
              </w:rPr>
              <w:t>fugi</w:t>
            </w:r>
            <w:r w:rsidR="00ED508F" w:rsidRPr="00043A2B">
              <w:rPr>
                <w:rFonts w:eastAsia="Times New Roman" w:cs="Arial"/>
                <w:i/>
                <w:iCs/>
                <w:sz w:val="21"/>
                <w:szCs w:val="21"/>
              </w:rPr>
              <w:t>é</w:t>
            </w:r>
            <w:r w:rsidRPr="00043A2B">
              <w:rPr>
                <w:rFonts w:eastAsia="Times New Roman" w:cs="Arial"/>
                <w:i/>
                <w:iCs/>
                <w:sz w:val="21"/>
                <w:szCs w:val="21"/>
              </w:rPr>
              <w:t>s</w:t>
            </w:r>
          </w:p>
        </w:tc>
      </w:tr>
      <w:tr w:rsidR="00FA7B2D" w:rsidRPr="00687A69" w14:paraId="0FA6EBCF" w14:textId="77777777" w:rsidTr="00DB08F0">
        <w:trPr>
          <w:trHeight w:val="515"/>
          <w:jc w:val="center"/>
        </w:trPr>
        <w:tc>
          <w:tcPr>
            <w:tcW w:w="147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0C34A34" w14:textId="77777777" w:rsidR="00FA7B2D" w:rsidRDefault="00FA7B2D" w:rsidP="00043A2B">
            <w:pPr>
              <w:spacing w:before="60" w:after="60" w:line="240" w:lineRule="auto"/>
              <w:contextualSpacing/>
              <w:rPr>
                <w:rFonts w:eastAsia="Times New Roman" w:cs="Arial"/>
                <w:sz w:val="21"/>
                <w:szCs w:val="21"/>
                <w:lang w:eastAsia="en-GB"/>
              </w:rPr>
            </w:pPr>
          </w:p>
          <w:p w14:paraId="5F0259EC" w14:textId="77777777" w:rsidR="00431C55" w:rsidRDefault="00431C55" w:rsidP="00043A2B">
            <w:pPr>
              <w:spacing w:before="60" w:after="60" w:line="240" w:lineRule="auto"/>
              <w:contextualSpacing/>
              <w:rPr>
                <w:rFonts w:eastAsia="Times New Roman" w:cs="Arial"/>
                <w:sz w:val="21"/>
                <w:szCs w:val="21"/>
                <w:lang w:eastAsia="en-GB"/>
              </w:rPr>
            </w:pPr>
          </w:p>
          <w:p w14:paraId="497E5C47" w14:textId="77777777" w:rsidR="00431C55" w:rsidRPr="00687A69" w:rsidRDefault="00431C55" w:rsidP="00043A2B">
            <w:pPr>
              <w:spacing w:before="60" w:after="60" w:line="240" w:lineRule="auto"/>
              <w:contextualSpacing/>
              <w:rPr>
                <w:rFonts w:eastAsia="Times New Roman" w:cs="Arial"/>
                <w:sz w:val="21"/>
                <w:szCs w:val="21"/>
                <w:lang w:eastAsia="en-GB"/>
              </w:rPr>
            </w:pPr>
          </w:p>
        </w:tc>
      </w:tr>
      <w:tr w:rsidR="00DF6A01" w:rsidRPr="00687A69" w14:paraId="7FFE915B" w14:textId="77777777" w:rsidTr="008862E5">
        <w:trPr>
          <w:trHeight w:val="313"/>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4984A018" w14:textId="7937BEA5" w:rsidR="00DF6A01" w:rsidRPr="00687A69" w:rsidRDefault="00FA7B2D" w:rsidP="008862E5">
            <w:pPr>
              <w:spacing w:before="60" w:after="60" w:line="240" w:lineRule="auto"/>
              <w:contextualSpacing/>
              <w:rPr>
                <w:rFonts w:eastAsia="Times New Roman" w:cs="Arial"/>
                <w:sz w:val="21"/>
                <w:szCs w:val="21"/>
              </w:rPr>
            </w:pPr>
            <w:r>
              <w:rPr>
                <w:b/>
                <w:bCs/>
                <w:sz w:val="21"/>
                <w:szCs w:val="21"/>
              </w:rPr>
              <w:t>2e)</w:t>
            </w:r>
            <w:r>
              <w:rPr>
                <w:sz w:val="21"/>
                <w:szCs w:val="21"/>
              </w:rPr>
              <w:t xml:space="preserve"> Décrire </w:t>
            </w:r>
            <w:r>
              <w:rPr>
                <w:b/>
                <w:sz w:val="21"/>
                <w:szCs w:val="21"/>
              </w:rPr>
              <w:t>le processus permettant aux bénéficiaires de recevoir le transfert de fonds</w:t>
            </w:r>
            <w:r>
              <w:rPr>
                <w:sz w:val="21"/>
                <w:szCs w:val="21"/>
              </w:rPr>
              <w:t xml:space="preserve">, y compris tout processus d’enregistrement, d’inscription et d’identification </w:t>
            </w:r>
            <w:r>
              <w:rPr>
                <w:b/>
                <w:color w:val="1F3864" w:themeColor="accent5" w:themeShade="80"/>
                <w:sz w:val="21"/>
                <w:szCs w:val="21"/>
              </w:rPr>
              <w:t>(20 points)</w:t>
            </w:r>
            <w:r>
              <w:rPr>
                <w:sz w:val="21"/>
                <w:szCs w:val="21"/>
              </w:rPr>
              <w:t>.</w:t>
            </w:r>
          </w:p>
        </w:tc>
      </w:tr>
      <w:tr w:rsidR="00DF6A01" w:rsidRPr="00687A69" w14:paraId="03C38CE5" w14:textId="77777777" w:rsidTr="00DB08F0">
        <w:trPr>
          <w:trHeight w:val="269"/>
          <w:jc w:val="center"/>
        </w:trPr>
        <w:tc>
          <w:tcPr>
            <w:tcW w:w="1476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02094661" w14:textId="77777777" w:rsidR="004D461B" w:rsidRPr="00643648" w:rsidRDefault="004D461B" w:rsidP="00043A2B">
            <w:pPr>
              <w:spacing w:before="60" w:after="60" w:line="240" w:lineRule="auto"/>
              <w:contextualSpacing/>
              <w:rPr>
                <w:rFonts w:eastAsia="Times New Roman" w:cs="Arial"/>
                <w:sz w:val="21"/>
                <w:szCs w:val="21"/>
                <w:lang w:val="fr-ML" w:eastAsia="en-GB"/>
              </w:rPr>
            </w:pPr>
          </w:p>
          <w:p w14:paraId="11960C31" w14:textId="77777777" w:rsidR="00DF6A01" w:rsidRPr="00643648" w:rsidRDefault="00DF6A01" w:rsidP="00043A2B">
            <w:pPr>
              <w:spacing w:before="60" w:after="60" w:line="240" w:lineRule="auto"/>
              <w:contextualSpacing/>
              <w:rPr>
                <w:rFonts w:eastAsia="Times New Roman" w:cs="Arial"/>
                <w:sz w:val="21"/>
                <w:szCs w:val="21"/>
                <w:lang w:val="fr-ML" w:eastAsia="en-GB"/>
              </w:rPr>
            </w:pPr>
          </w:p>
          <w:p w14:paraId="0633940E" w14:textId="77777777" w:rsidR="00330EF9" w:rsidRPr="00643648" w:rsidRDefault="00330EF9" w:rsidP="00043A2B">
            <w:pPr>
              <w:spacing w:before="60" w:after="60" w:line="240" w:lineRule="auto"/>
              <w:contextualSpacing/>
              <w:rPr>
                <w:rFonts w:eastAsia="Times New Roman" w:cs="Arial"/>
                <w:sz w:val="21"/>
                <w:szCs w:val="21"/>
                <w:lang w:val="fr-ML" w:eastAsia="en-GB"/>
              </w:rPr>
            </w:pPr>
          </w:p>
        </w:tc>
      </w:tr>
      <w:tr w:rsidR="00DF6A01" w:rsidRPr="00687A69" w14:paraId="3C11194B" w14:textId="77777777" w:rsidTr="00DB08F0">
        <w:trPr>
          <w:trHeight w:val="340"/>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000DC53" w14:textId="23F7C506" w:rsidR="00DF6A01" w:rsidRPr="00687A69" w:rsidRDefault="00FA7B2D" w:rsidP="005E40C6">
            <w:pPr>
              <w:spacing w:before="60" w:after="60" w:line="240" w:lineRule="auto"/>
              <w:contextualSpacing/>
              <w:rPr>
                <w:rFonts w:eastAsia="Times New Roman" w:cs="Arial"/>
                <w:sz w:val="21"/>
                <w:szCs w:val="21"/>
              </w:rPr>
            </w:pPr>
            <w:r>
              <w:rPr>
                <w:b/>
                <w:sz w:val="21"/>
                <w:szCs w:val="21"/>
              </w:rPr>
              <w:t>2f)</w:t>
            </w:r>
            <w:r>
              <w:rPr>
                <w:sz w:val="21"/>
                <w:szCs w:val="21"/>
              </w:rPr>
              <w:t xml:space="preserve"> Fournir des détails concernant le processus et les délais nécessaires afin de </w:t>
            </w:r>
            <w:r>
              <w:rPr>
                <w:b/>
                <w:sz w:val="21"/>
                <w:szCs w:val="21"/>
              </w:rPr>
              <w:t>résoudre des cas de perte, de vol ou de dysfonctionnement</w:t>
            </w:r>
            <w:r>
              <w:rPr>
                <w:sz w:val="21"/>
                <w:szCs w:val="21"/>
              </w:rPr>
              <w:t xml:space="preserve"> de moyens de paiement, de retrait ou de décaissement. </w:t>
            </w:r>
            <w:r>
              <w:rPr>
                <w:b/>
                <w:color w:val="1F3864" w:themeColor="accent5" w:themeShade="80"/>
                <w:sz w:val="21"/>
                <w:szCs w:val="21"/>
              </w:rPr>
              <w:t>(</w:t>
            </w:r>
            <w:r>
              <w:rPr>
                <w:b/>
                <w:color w:val="1F3864" w:themeColor="accent5" w:themeShade="80"/>
                <w:sz w:val="21"/>
                <w:szCs w:val="21"/>
                <w:u w:val="single"/>
              </w:rPr>
              <w:t>20 points</w:t>
            </w:r>
            <w:r>
              <w:rPr>
                <w:b/>
                <w:color w:val="1F3864" w:themeColor="accent5" w:themeShade="80"/>
                <w:sz w:val="21"/>
                <w:szCs w:val="21"/>
              </w:rPr>
              <w:t>)</w:t>
            </w:r>
          </w:p>
        </w:tc>
      </w:tr>
      <w:tr w:rsidR="00DF6A01" w:rsidRPr="00687A69" w14:paraId="6FF0A441"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04347A" w14:textId="77777777" w:rsidR="00DF6A01" w:rsidRPr="00687A69" w:rsidRDefault="00DF6A01" w:rsidP="00043A2B">
            <w:pPr>
              <w:spacing w:before="60" w:after="60" w:line="240" w:lineRule="auto"/>
              <w:contextualSpacing/>
              <w:rPr>
                <w:rFonts w:eastAsia="Times New Roman" w:cs="Arial"/>
                <w:sz w:val="21"/>
                <w:szCs w:val="21"/>
                <w:lang w:val="en" w:eastAsia="en-GB"/>
              </w:rPr>
            </w:pPr>
          </w:p>
          <w:p w14:paraId="744EE437" w14:textId="77777777" w:rsidR="008A01E8" w:rsidRDefault="008A01E8" w:rsidP="00043A2B">
            <w:pPr>
              <w:spacing w:before="60" w:after="60" w:line="240" w:lineRule="auto"/>
              <w:contextualSpacing/>
              <w:rPr>
                <w:rFonts w:eastAsia="Times New Roman" w:cs="Arial"/>
                <w:sz w:val="21"/>
                <w:szCs w:val="21"/>
                <w:lang w:val="en" w:eastAsia="en-GB"/>
              </w:rPr>
            </w:pPr>
          </w:p>
          <w:p w14:paraId="775E18F7" w14:textId="77777777" w:rsidR="00330EF9" w:rsidRPr="00687A69" w:rsidRDefault="00330EF9" w:rsidP="00043A2B">
            <w:pPr>
              <w:spacing w:before="60" w:after="60" w:line="240" w:lineRule="auto"/>
              <w:contextualSpacing/>
              <w:rPr>
                <w:rFonts w:eastAsia="Times New Roman" w:cs="Arial"/>
                <w:sz w:val="21"/>
                <w:szCs w:val="21"/>
                <w:lang w:val="en" w:eastAsia="en-GB"/>
              </w:rPr>
            </w:pPr>
          </w:p>
        </w:tc>
      </w:tr>
      <w:tr w:rsidR="00DF6A01" w:rsidRPr="00687A69" w14:paraId="3800B906" w14:textId="77777777" w:rsidTr="00DB08F0">
        <w:trPr>
          <w:trHeight w:val="402"/>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DDA3A6F" w14:textId="1A3FCFC4" w:rsidR="00DF6A01" w:rsidRPr="00687A69" w:rsidRDefault="00FA7B2D" w:rsidP="00371701">
            <w:pPr>
              <w:spacing w:before="60" w:after="60" w:line="240" w:lineRule="auto"/>
              <w:contextualSpacing/>
              <w:rPr>
                <w:rFonts w:eastAsia="Times New Roman" w:cs="Arial"/>
                <w:sz w:val="21"/>
                <w:szCs w:val="21"/>
              </w:rPr>
            </w:pPr>
            <w:r>
              <w:rPr>
                <w:b/>
                <w:sz w:val="21"/>
                <w:szCs w:val="21"/>
              </w:rPr>
              <w:t>2g)</w:t>
            </w:r>
            <w:r>
              <w:rPr>
                <w:sz w:val="21"/>
                <w:szCs w:val="21"/>
              </w:rPr>
              <w:t xml:space="preserve"> Décrire comment la </w:t>
            </w:r>
            <w:r>
              <w:rPr>
                <w:b/>
                <w:bCs/>
                <w:sz w:val="21"/>
                <w:szCs w:val="21"/>
              </w:rPr>
              <w:t>solution proposée est</w:t>
            </w:r>
            <w:r>
              <w:rPr>
                <w:sz w:val="21"/>
                <w:szCs w:val="21"/>
              </w:rPr>
              <w:t xml:space="preserve"> </w:t>
            </w:r>
            <w:r>
              <w:rPr>
                <w:b/>
                <w:sz w:val="21"/>
                <w:szCs w:val="21"/>
              </w:rPr>
              <w:t>adaptée aux populations spécifiques du projet</w:t>
            </w:r>
            <w:r>
              <w:rPr>
                <w:sz w:val="21"/>
                <w:szCs w:val="21"/>
              </w:rPr>
              <w:t xml:space="preserve">, notamment les capacités pour garantir </w:t>
            </w:r>
            <w:r>
              <w:rPr>
                <w:b/>
                <w:sz w:val="21"/>
                <w:szCs w:val="21"/>
              </w:rPr>
              <w:t>l’accès des personnes handicapées</w:t>
            </w:r>
            <w:r>
              <w:rPr>
                <w:sz w:val="21"/>
                <w:szCs w:val="21"/>
              </w:rPr>
              <w:t xml:space="preserve"> (et d’autres groupes susceptibles de rencontrer des problèmes d’accessibilité (par exemple, les personnes âgées, les personnes ayant un faible niveau d’alphabétisation ou analphabètes)). </w:t>
            </w:r>
            <w:r>
              <w:rPr>
                <w:b/>
                <w:color w:val="1F3864" w:themeColor="accent5" w:themeShade="80"/>
                <w:sz w:val="21"/>
                <w:szCs w:val="21"/>
              </w:rPr>
              <w:t>(</w:t>
            </w:r>
            <w:r>
              <w:rPr>
                <w:b/>
                <w:color w:val="1F3864" w:themeColor="accent5" w:themeShade="80"/>
                <w:sz w:val="21"/>
                <w:szCs w:val="21"/>
                <w:u w:val="single"/>
              </w:rPr>
              <w:t>20 points</w:t>
            </w:r>
            <w:r>
              <w:rPr>
                <w:b/>
                <w:color w:val="1F3864" w:themeColor="accent5" w:themeShade="80"/>
                <w:sz w:val="21"/>
                <w:szCs w:val="21"/>
              </w:rPr>
              <w:t>)</w:t>
            </w:r>
          </w:p>
        </w:tc>
      </w:tr>
      <w:tr w:rsidR="00DF6A01" w:rsidRPr="00687A69" w14:paraId="4EA8704B"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EC6E909" w14:textId="77777777" w:rsidR="00DF6A01" w:rsidRPr="00687A69" w:rsidRDefault="00DF6A01" w:rsidP="00043A2B">
            <w:pPr>
              <w:spacing w:before="60" w:after="60" w:line="240" w:lineRule="auto"/>
              <w:contextualSpacing/>
              <w:rPr>
                <w:rFonts w:eastAsia="Times New Roman" w:cs="Arial"/>
                <w:sz w:val="21"/>
                <w:szCs w:val="21"/>
                <w:lang w:eastAsia="en-GB"/>
              </w:rPr>
            </w:pPr>
          </w:p>
          <w:p w14:paraId="7D2AF6E7" w14:textId="77777777" w:rsidR="008A01E8" w:rsidRDefault="008A01E8" w:rsidP="00043A2B">
            <w:pPr>
              <w:spacing w:before="60" w:after="60" w:line="240" w:lineRule="auto"/>
              <w:contextualSpacing/>
              <w:rPr>
                <w:rFonts w:eastAsia="Times New Roman" w:cs="Arial"/>
                <w:sz w:val="21"/>
                <w:szCs w:val="21"/>
                <w:lang w:eastAsia="en-GB"/>
              </w:rPr>
            </w:pPr>
          </w:p>
          <w:p w14:paraId="7FE6A72D" w14:textId="77777777" w:rsidR="00330EF9" w:rsidRPr="00687A69" w:rsidRDefault="00330EF9" w:rsidP="00043A2B">
            <w:pPr>
              <w:spacing w:before="60" w:after="60" w:line="240" w:lineRule="auto"/>
              <w:contextualSpacing/>
              <w:rPr>
                <w:rFonts w:eastAsia="Times New Roman" w:cs="Arial"/>
                <w:sz w:val="21"/>
                <w:szCs w:val="21"/>
                <w:lang w:eastAsia="en-GB"/>
              </w:rPr>
            </w:pPr>
          </w:p>
        </w:tc>
      </w:tr>
      <w:tr w:rsidR="00DF6A01" w:rsidRPr="00687A69" w14:paraId="33F39F9D"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2EE8CC55" w14:textId="608F3B50" w:rsidR="00DF6A01" w:rsidRPr="00243B18" w:rsidRDefault="00FA7B2D" w:rsidP="00243B18">
            <w:pPr>
              <w:spacing w:before="100" w:beforeAutospacing="1" w:after="0" w:line="240" w:lineRule="auto"/>
              <w:contextualSpacing/>
              <w:rPr>
                <w:rFonts w:eastAsia="Times New Roman" w:cs="Arial"/>
                <w:sz w:val="21"/>
                <w:szCs w:val="21"/>
              </w:rPr>
            </w:pPr>
            <w:r>
              <w:rPr>
                <w:b/>
                <w:sz w:val="21"/>
                <w:szCs w:val="21"/>
              </w:rPr>
              <w:t>2h)</w:t>
            </w:r>
            <w:r>
              <w:rPr>
                <w:sz w:val="21"/>
                <w:szCs w:val="21"/>
              </w:rPr>
              <w:t xml:space="preserve"> Décrire tout autre </w:t>
            </w:r>
            <w:r>
              <w:rPr>
                <w:b/>
                <w:sz w:val="21"/>
                <w:szCs w:val="21"/>
              </w:rPr>
              <w:t>service d’inclusion financière associé</w:t>
            </w:r>
            <w:r>
              <w:rPr>
                <w:sz w:val="21"/>
                <w:szCs w:val="21"/>
              </w:rPr>
              <w:t xml:space="preserve"> que le prestataire de services financiers peut fournir (c’est-à-dire l’ouverture de véritables comptes épargne, l’accès à des produits d’envoi de fonds et d’assurance, prêts, etc.) </w:t>
            </w:r>
            <w:r>
              <w:rPr>
                <w:b/>
                <w:color w:val="1F3864" w:themeColor="accent5" w:themeShade="80"/>
                <w:sz w:val="21"/>
                <w:szCs w:val="21"/>
              </w:rPr>
              <w:t>(</w:t>
            </w:r>
            <w:r>
              <w:rPr>
                <w:b/>
                <w:color w:val="1F3864" w:themeColor="accent5" w:themeShade="80"/>
                <w:sz w:val="21"/>
                <w:szCs w:val="21"/>
                <w:u w:val="single"/>
              </w:rPr>
              <w:t>10</w:t>
            </w:r>
            <w:r>
              <w:rPr>
                <w:sz w:val="21"/>
                <w:szCs w:val="21"/>
              </w:rPr>
              <w:t> </w:t>
            </w:r>
            <w:r>
              <w:rPr>
                <w:b/>
                <w:color w:val="1F3864" w:themeColor="accent5" w:themeShade="80"/>
                <w:sz w:val="21"/>
                <w:szCs w:val="21"/>
                <w:u w:val="single"/>
              </w:rPr>
              <w:t>points</w:t>
            </w:r>
            <w:r>
              <w:rPr>
                <w:b/>
                <w:color w:val="1F3864" w:themeColor="accent5" w:themeShade="80"/>
                <w:sz w:val="21"/>
                <w:szCs w:val="21"/>
              </w:rPr>
              <w:t>)</w:t>
            </w:r>
          </w:p>
        </w:tc>
      </w:tr>
      <w:tr w:rsidR="00DF6A01" w:rsidRPr="00687A69" w14:paraId="6233957D"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755CA39A" w14:textId="77777777" w:rsidR="00DF6A01" w:rsidRPr="00687A69" w:rsidRDefault="00DF6A01" w:rsidP="00043A2B">
            <w:pPr>
              <w:spacing w:before="100" w:beforeAutospacing="1" w:after="0" w:line="240" w:lineRule="auto"/>
              <w:contextualSpacing/>
              <w:rPr>
                <w:rFonts w:eastAsia="Times New Roman" w:cs="Arial"/>
                <w:sz w:val="21"/>
                <w:szCs w:val="21"/>
                <w:lang w:eastAsia="en-GB"/>
              </w:rPr>
            </w:pPr>
          </w:p>
          <w:p w14:paraId="1C72DA3C" w14:textId="77777777" w:rsidR="008A01E8" w:rsidRDefault="008A01E8" w:rsidP="00043A2B">
            <w:pPr>
              <w:spacing w:before="100" w:beforeAutospacing="1" w:after="0" w:line="240" w:lineRule="auto"/>
              <w:contextualSpacing/>
              <w:rPr>
                <w:rFonts w:eastAsia="Times New Roman" w:cs="Arial"/>
                <w:sz w:val="21"/>
                <w:szCs w:val="21"/>
                <w:lang w:eastAsia="en-GB"/>
              </w:rPr>
            </w:pPr>
          </w:p>
          <w:p w14:paraId="22423D3A" w14:textId="77777777" w:rsidR="00330EF9" w:rsidRPr="00687A69" w:rsidRDefault="00330EF9" w:rsidP="00043A2B">
            <w:pPr>
              <w:spacing w:before="100" w:beforeAutospacing="1" w:after="0" w:line="240" w:lineRule="auto"/>
              <w:contextualSpacing/>
              <w:rPr>
                <w:rFonts w:eastAsia="Times New Roman" w:cs="Arial"/>
                <w:sz w:val="21"/>
                <w:szCs w:val="21"/>
                <w:lang w:eastAsia="en-GB"/>
              </w:rPr>
            </w:pPr>
          </w:p>
        </w:tc>
      </w:tr>
      <w:tr w:rsidR="00DF6A01" w:rsidRPr="00687A69" w14:paraId="006AE436"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6FFAB7D2" w14:textId="75AB0D2E" w:rsidR="00DF6A01" w:rsidRPr="00243B18" w:rsidRDefault="00DF6A01" w:rsidP="00A46A80">
            <w:pPr>
              <w:pStyle w:val="pf0"/>
              <w:rPr>
                <w:rFonts w:cs="Arial"/>
                <w:sz w:val="21"/>
                <w:szCs w:val="21"/>
              </w:rPr>
            </w:pPr>
          </w:p>
        </w:tc>
      </w:tr>
      <w:tr w:rsidR="00DF6A01" w:rsidRPr="00687A69" w14:paraId="4CCEF917"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7B76ED19" w14:textId="77777777" w:rsidR="008A01E8" w:rsidRPr="00643648" w:rsidRDefault="008A01E8" w:rsidP="00043A2B">
            <w:pPr>
              <w:spacing w:before="100" w:beforeAutospacing="1" w:after="0" w:line="240" w:lineRule="auto"/>
              <w:contextualSpacing/>
              <w:rPr>
                <w:rFonts w:eastAsia="Times New Roman" w:cs="Arial"/>
                <w:sz w:val="21"/>
                <w:szCs w:val="21"/>
                <w:lang w:val="fr-ML" w:eastAsia="en-GB"/>
              </w:rPr>
            </w:pPr>
          </w:p>
          <w:p w14:paraId="607A3EFA" w14:textId="77777777" w:rsidR="008862E5" w:rsidRPr="00643648" w:rsidRDefault="008862E5" w:rsidP="00043A2B">
            <w:pPr>
              <w:spacing w:before="100" w:beforeAutospacing="1" w:after="0" w:line="240" w:lineRule="auto"/>
              <w:contextualSpacing/>
              <w:rPr>
                <w:rFonts w:eastAsia="Times New Roman" w:cs="Arial"/>
                <w:sz w:val="21"/>
                <w:szCs w:val="21"/>
                <w:lang w:val="fr-ML" w:eastAsia="en-GB"/>
              </w:rPr>
            </w:pPr>
          </w:p>
        </w:tc>
      </w:tr>
      <w:tr w:rsidR="00DF6A01" w:rsidRPr="00687A69" w14:paraId="3D315D43"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DEEAF6" w:themeFill="accent1" w:themeFillTint="33"/>
            <w:tcMar>
              <w:top w:w="0" w:type="dxa"/>
              <w:left w:w="108" w:type="dxa"/>
              <w:bottom w:w="0" w:type="dxa"/>
              <w:right w:w="108" w:type="dxa"/>
            </w:tcMar>
            <w:vAlign w:val="center"/>
          </w:tcPr>
          <w:p w14:paraId="3B36B7AE" w14:textId="06627091" w:rsidR="00DF6A01" w:rsidRPr="00687A69" w:rsidRDefault="00DF6A01" w:rsidP="00043A2B">
            <w:pPr>
              <w:spacing w:before="60" w:after="60" w:line="240" w:lineRule="auto"/>
              <w:contextualSpacing/>
              <w:rPr>
                <w:rFonts w:eastAsia="Times New Roman" w:cs="Arial"/>
                <w:sz w:val="21"/>
                <w:szCs w:val="21"/>
              </w:rPr>
            </w:pPr>
            <w:r>
              <w:rPr>
                <w:b/>
                <w:sz w:val="21"/>
                <w:szCs w:val="21"/>
              </w:rPr>
              <w:t>3.  Gestion des moyens de paiement</w:t>
            </w:r>
            <w:r>
              <w:rPr>
                <w:sz w:val="21"/>
                <w:szCs w:val="21"/>
              </w:rPr>
              <w:t xml:space="preserve"> </w:t>
            </w:r>
            <w:r>
              <w:rPr>
                <w:b/>
                <w:color w:val="1F4E79" w:themeColor="accent1" w:themeShade="80"/>
                <w:sz w:val="21"/>
                <w:szCs w:val="21"/>
              </w:rPr>
              <w:t>(</w:t>
            </w:r>
            <w:r>
              <w:rPr>
                <w:b/>
                <w:color w:val="1F3864" w:themeColor="accent5" w:themeShade="80"/>
                <w:sz w:val="21"/>
                <w:szCs w:val="21"/>
                <w:u w:val="single"/>
              </w:rPr>
              <w:t>100 points au total</w:t>
            </w:r>
            <w:r>
              <w:rPr>
                <w:b/>
                <w:color w:val="1F3864" w:themeColor="accent5" w:themeShade="80"/>
                <w:sz w:val="21"/>
                <w:szCs w:val="21"/>
              </w:rPr>
              <w:t xml:space="preserve">, </w:t>
            </w:r>
            <w:r>
              <w:rPr>
                <w:i/>
                <w:color w:val="1F3864" w:themeColor="accent5" w:themeShade="80"/>
                <w:sz w:val="21"/>
                <w:szCs w:val="21"/>
              </w:rPr>
              <w:t>barème détaillé ci-dessous</w:t>
            </w:r>
            <w:r>
              <w:rPr>
                <w:b/>
                <w:color w:val="1F3864" w:themeColor="accent5" w:themeShade="80"/>
                <w:sz w:val="21"/>
                <w:szCs w:val="21"/>
              </w:rPr>
              <w:t>)</w:t>
            </w:r>
          </w:p>
        </w:tc>
      </w:tr>
      <w:tr w:rsidR="00DF6A01" w:rsidRPr="00687A69" w14:paraId="368847D4"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29D39F05" w14:textId="4B82094E" w:rsidR="00A12499" w:rsidRPr="00687A69" w:rsidRDefault="00DF6A01" w:rsidP="0069103C">
            <w:pPr>
              <w:spacing w:before="60" w:after="60" w:line="240" w:lineRule="auto"/>
              <w:contextualSpacing/>
              <w:rPr>
                <w:rFonts w:eastAsia="Times New Roman" w:cs="Arial"/>
                <w:b/>
                <w:color w:val="1F4E79" w:themeColor="accent1" w:themeShade="80"/>
                <w:sz w:val="21"/>
                <w:szCs w:val="21"/>
              </w:rPr>
            </w:pPr>
            <w:r>
              <w:rPr>
                <w:b/>
                <w:sz w:val="21"/>
                <w:szCs w:val="21"/>
              </w:rPr>
              <w:t>3a)</w:t>
            </w:r>
            <w:r>
              <w:rPr>
                <w:sz w:val="21"/>
                <w:szCs w:val="21"/>
              </w:rPr>
              <w:t xml:space="preserve"> Après réception des fonds et des renseignements concernant les bénéficiaires du HCR, décrire </w:t>
            </w:r>
            <w:r>
              <w:rPr>
                <w:b/>
                <w:sz w:val="21"/>
                <w:szCs w:val="21"/>
              </w:rPr>
              <w:t>le processus et le temps requis pour transférer des fonds</w:t>
            </w:r>
            <w:r>
              <w:rPr>
                <w:sz w:val="21"/>
                <w:szCs w:val="21"/>
              </w:rPr>
              <w:t xml:space="preserve"> sur les comptes/portefeuilles des bénéficiaires ou procéder au paiement ou à la distribution aux bénéficiaires. </w:t>
            </w:r>
            <w:r>
              <w:rPr>
                <w:b/>
                <w:color w:val="1F3864" w:themeColor="accent5" w:themeShade="80"/>
                <w:sz w:val="21"/>
                <w:szCs w:val="21"/>
              </w:rPr>
              <w:t>(</w:t>
            </w:r>
            <w:r>
              <w:rPr>
                <w:b/>
                <w:color w:val="1F3864" w:themeColor="accent5" w:themeShade="80"/>
                <w:sz w:val="21"/>
                <w:szCs w:val="21"/>
                <w:u w:val="single"/>
              </w:rPr>
              <w:t>20 points</w:t>
            </w:r>
            <w:r>
              <w:rPr>
                <w:b/>
                <w:color w:val="1F3864" w:themeColor="accent5" w:themeShade="80"/>
                <w:sz w:val="21"/>
                <w:szCs w:val="21"/>
              </w:rPr>
              <w:t>)</w:t>
            </w:r>
          </w:p>
        </w:tc>
      </w:tr>
      <w:tr w:rsidR="00DF6A01" w:rsidRPr="00687A69" w14:paraId="18D33284"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25384EA8" w14:textId="77777777" w:rsidR="00DF6A01" w:rsidRPr="00687A69" w:rsidRDefault="00DF6A01" w:rsidP="00043A2B">
            <w:pPr>
              <w:spacing w:before="60" w:after="60" w:line="240" w:lineRule="auto"/>
              <w:contextualSpacing/>
              <w:rPr>
                <w:rFonts w:eastAsia="Times New Roman" w:cs="Arial"/>
                <w:sz w:val="21"/>
                <w:szCs w:val="21"/>
                <w:lang w:eastAsia="en-GB"/>
              </w:rPr>
            </w:pPr>
          </w:p>
          <w:p w14:paraId="0A265426" w14:textId="77777777" w:rsidR="00DF6A01" w:rsidRDefault="00DF6A01" w:rsidP="00043A2B">
            <w:pPr>
              <w:spacing w:before="60" w:after="60" w:line="240" w:lineRule="auto"/>
              <w:contextualSpacing/>
              <w:rPr>
                <w:rFonts w:eastAsia="Times New Roman" w:cs="Arial"/>
                <w:sz w:val="21"/>
                <w:szCs w:val="21"/>
                <w:lang w:eastAsia="en-GB"/>
              </w:rPr>
            </w:pPr>
          </w:p>
          <w:p w14:paraId="7C2E572C" w14:textId="77777777" w:rsidR="00330EF9" w:rsidRPr="00687A69" w:rsidRDefault="00330EF9" w:rsidP="00043A2B">
            <w:pPr>
              <w:spacing w:before="60" w:after="60" w:line="240" w:lineRule="auto"/>
              <w:contextualSpacing/>
              <w:rPr>
                <w:rFonts w:eastAsia="Times New Roman" w:cs="Arial"/>
                <w:sz w:val="21"/>
                <w:szCs w:val="21"/>
                <w:lang w:eastAsia="en-GB"/>
              </w:rPr>
            </w:pPr>
          </w:p>
        </w:tc>
      </w:tr>
      <w:tr w:rsidR="00DF6A01" w:rsidRPr="00687A69" w14:paraId="00CE344A"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945AB6C" w14:textId="4A44BBEC" w:rsidR="00DF6A01" w:rsidRPr="00687A69" w:rsidRDefault="00DF6A01" w:rsidP="00043A2B">
            <w:pPr>
              <w:spacing w:before="60" w:after="60" w:line="240" w:lineRule="auto"/>
              <w:contextualSpacing/>
              <w:rPr>
                <w:rFonts w:eastAsia="Times New Roman" w:cs="Arial"/>
                <w:sz w:val="21"/>
                <w:szCs w:val="21"/>
              </w:rPr>
            </w:pPr>
            <w:r>
              <w:rPr>
                <w:b/>
                <w:sz w:val="21"/>
                <w:szCs w:val="21"/>
              </w:rPr>
              <w:t>3b)</w:t>
            </w:r>
            <w:r>
              <w:rPr>
                <w:sz w:val="21"/>
                <w:szCs w:val="21"/>
              </w:rPr>
              <w:t xml:space="preserve"> Décrire </w:t>
            </w:r>
            <w:r>
              <w:rPr>
                <w:b/>
                <w:sz w:val="21"/>
                <w:szCs w:val="21"/>
              </w:rPr>
              <w:t>les mesures de protection du transfert des données</w:t>
            </w:r>
            <w:r>
              <w:rPr>
                <w:sz w:val="21"/>
                <w:szCs w:val="21"/>
              </w:rPr>
              <w:t xml:space="preserve">, y compris le cryptage, les contrôles d’intégrité et l’utilisation de lignes sécurisées. </w:t>
            </w:r>
            <w:r>
              <w:rPr>
                <w:b/>
                <w:color w:val="1F4E79" w:themeColor="accent1" w:themeShade="80"/>
                <w:sz w:val="21"/>
                <w:szCs w:val="21"/>
              </w:rPr>
              <w:t>(</w:t>
            </w:r>
            <w:r>
              <w:rPr>
                <w:b/>
                <w:color w:val="1F4E79" w:themeColor="accent1" w:themeShade="80"/>
                <w:sz w:val="21"/>
                <w:szCs w:val="21"/>
                <w:u w:val="single"/>
              </w:rPr>
              <w:t>20 points</w:t>
            </w:r>
            <w:r>
              <w:rPr>
                <w:b/>
                <w:color w:val="1F4E79" w:themeColor="accent1" w:themeShade="80"/>
                <w:sz w:val="21"/>
                <w:szCs w:val="21"/>
              </w:rPr>
              <w:t>)</w:t>
            </w:r>
          </w:p>
        </w:tc>
      </w:tr>
      <w:tr w:rsidR="00DF6A01" w:rsidRPr="00687A69" w14:paraId="4B4FCC4D"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1B8BDA6" w14:textId="77777777" w:rsidR="00DF6A01" w:rsidRDefault="00DF6A01" w:rsidP="00043A2B">
            <w:pPr>
              <w:spacing w:before="60" w:after="60" w:line="240" w:lineRule="auto"/>
              <w:contextualSpacing/>
              <w:rPr>
                <w:rFonts w:eastAsia="Times New Roman" w:cs="Arial"/>
                <w:sz w:val="21"/>
                <w:szCs w:val="21"/>
                <w:lang w:eastAsia="en-GB"/>
              </w:rPr>
            </w:pPr>
          </w:p>
          <w:p w14:paraId="14BBF803" w14:textId="77777777" w:rsidR="00330EF9" w:rsidRPr="00687A69" w:rsidRDefault="00330EF9" w:rsidP="00043A2B">
            <w:pPr>
              <w:spacing w:before="60" w:after="60" w:line="240" w:lineRule="auto"/>
              <w:contextualSpacing/>
              <w:rPr>
                <w:rFonts w:eastAsia="Times New Roman" w:cs="Arial"/>
                <w:sz w:val="21"/>
                <w:szCs w:val="21"/>
                <w:lang w:eastAsia="en-GB"/>
              </w:rPr>
            </w:pPr>
          </w:p>
          <w:p w14:paraId="275036B7" w14:textId="77777777" w:rsidR="00DF6A01" w:rsidRPr="00687A69" w:rsidRDefault="00DF6A01" w:rsidP="00043A2B">
            <w:pPr>
              <w:spacing w:before="60" w:after="60" w:line="240" w:lineRule="auto"/>
              <w:contextualSpacing/>
              <w:rPr>
                <w:rFonts w:eastAsia="Times New Roman" w:cs="Arial"/>
                <w:sz w:val="21"/>
                <w:szCs w:val="21"/>
                <w:lang w:eastAsia="en-GB"/>
              </w:rPr>
            </w:pPr>
          </w:p>
        </w:tc>
      </w:tr>
      <w:tr w:rsidR="00DF6A01" w:rsidRPr="00687A69" w14:paraId="53B3510A"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4F5D91E8" w14:textId="35C2B37E" w:rsidR="00DF6A01" w:rsidRPr="00687A69" w:rsidRDefault="00DF6A01" w:rsidP="00043A2B">
            <w:pPr>
              <w:spacing w:before="60" w:after="60" w:line="240" w:lineRule="auto"/>
              <w:contextualSpacing/>
              <w:rPr>
                <w:rFonts w:eastAsia="Times New Roman" w:cs="Arial"/>
                <w:sz w:val="21"/>
                <w:szCs w:val="21"/>
              </w:rPr>
            </w:pPr>
            <w:r>
              <w:rPr>
                <w:b/>
                <w:sz w:val="21"/>
                <w:szCs w:val="21"/>
              </w:rPr>
              <w:t>3c)</w:t>
            </w:r>
            <w:r>
              <w:rPr>
                <w:sz w:val="21"/>
                <w:szCs w:val="21"/>
              </w:rPr>
              <w:t xml:space="preserve"> Décrire le processus de </w:t>
            </w:r>
            <w:r>
              <w:rPr>
                <w:b/>
                <w:sz w:val="21"/>
                <w:szCs w:val="21"/>
              </w:rPr>
              <w:t>suivi et traçabilité</w:t>
            </w:r>
            <w:r>
              <w:rPr>
                <w:sz w:val="21"/>
                <w:szCs w:val="21"/>
              </w:rPr>
              <w:t xml:space="preserve"> des moyens de paiement, de retrait ou de décaissement et de transactions individuelles. </w:t>
            </w:r>
            <w:r>
              <w:rPr>
                <w:b/>
                <w:color w:val="1F4E79" w:themeColor="accent1" w:themeShade="80"/>
                <w:sz w:val="21"/>
                <w:szCs w:val="21"/>
              </w:rPr>
              <w:t>(</w:t>
            </w:r>
            <w:r>
              <w:rPr>
                <w:b/>
                <w:color w:val="1F4E79" w:themeColor="accent1" w:themeShade="80"/>
                <w:sz w:val="21"/>
                <w:szCs w:val="21"/>
                <w:u w:val="single"/>
              </w:rPr>
              <w:t>20 points</w:t>
            </w:r>
            <w:r>
              <w:rPr>
                <w:b/>
                <w:color w:val="1F4E79" w:themeColor="accent1" w:themeShade="80"/>
                <w:sz w:val="21"/>
                <w:szCs w:val="21"/>
              </w:rPr>
              <w:t>)</w:t>
            </w:r>
          </w:p>
        </w:tc>
      </w:tr>
      <w:tr w:rsidR="00DF6A01" w:rsidRPr="00687A69" w14:paraId="6E77AB39"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138CBB8" w14:textId="77777777" w:rsidR="00DF6A01" w:rsidRDefault="00DF6A01" w:rsidP="00043A2B">
            <w:pPr>
              <w:spacing w:before="60" w:after="60" w:line="240" w:lineRule="auto"/>
              <w:contextualSpacing/>
              <w:rPr>
                <w:rFonts w:eastAsia="Times New Roman" w:cs="Arial"/>
                <w:sz w:val="21"/>
                <w:szCs w:val="21"/>
                <w:lang w:eastAsia="en-GB"/>
              </w:rPr>
            </w:pPr>
          </w:p>
          <w:p w14:paraId="1E78A0C2" w14:textId="77777777" w:rsidR="00330EF9" w:rsidRPr="00687A69" w:rsidRDefault="00330EF9" w:rsidP="00043A2B">
            <w:pPr>
              <w:spacing w:before="60" w:after="60" w:line="240" w:lineRule="auto"/>
              <w:contextualSpacing/>
              <w:rPr>
                <w:rFonts w:eastAsia="Times New Roman" w:cs="Arial"/>
                <w:sz w:val="21"/>
                <w:szCs w:val="21"/>
                <w:lang w:eastAsia="en-GB"/>
              </w:rPr>
            </w:pPr>
          </w:p>
          <w:p w14:paraId="1AEC1894" w14:textId="77777777" w:rsidR="00DF6A01" w:rsidRPr="00687A69" w:rsidRDefault="00DF6A01" w:rsidP="00043A2B">
            <w:pPr>
              <w:spacing w:before="60" w:after="60" w:line="240" w:lineRule="auto"/>
              <w:contextualSpacing/>
              <w:rPr>
                <w:rFonts w:eastAsia="Times New Roman" w:cs="Arial"/>
                <w:sz w:val="21"/>
                <w:szCs w:val="21"/>
                <w:lang w:eastAsia="en-GB"/>
              </w:rPr>
            </w:pPr>
          </w:p>
        </w:tc>
      </w:tr>
      <w:tr w:rsidR="00DF6A01" w:rsidRPr="00687A69" w14:paraId="4B23EA76"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FF09227" w14:textId="56ABD159" w:rsidR="00A12499" w:rsidRPr="008D403F" w:rsidRDefault="00DF6A01" w:rsidP="008D403F">
            <w:pPr>
              <w:spacing w:before="60" w:after="0" w:line="240" w:lineRule="auto"/>
              <w:contextualSpacing/>
              <w:rPr>
                <w:rFonts w:eastAsia="Times New Roman" w:cs="Arial"/>
                <w:b/>
                <w:color w:val="1F4E79" w:themeColor="accent1" w:themeShade="80"/>
                <w:sz w:val="21"/>
                <w:szCs w:val="21"/>
              </w:rPr>
            </w:pPr>
            <w:r>
              <w:rPr>
                <w:b/>
                <w:sz w:val="21"/>
                <w:szCs w:val="21"/>
              </w:rPr>
              <w:t>3d)</w:t>
            </w:r>
            <w:r>
              <w:rPr>
                <w:sz w:val="21"/>
                <w:szCs w:val="21"/>
              </w:rPr>
              <w:t xml:space="preserve"> Décrire les </w:t>
            </w:r>
            <w:r>
              <w:rPr>
                <w:b/>
                <w:sz w:val="21"/>
                <w:szCs w:val="21"/>
              </w:rPr>
              <w:t>mesures de sécurité et de lutte contre la fraude utilisées par le mécanisme de paiement</w:t>
            </w:r>
            <w:r>
              <w:rPr>
                <w:sz w:val="21"/>
                <w:szCs w:val="21"/>
              </w:rPr>
              <w:t xml:space="preserve"> (par exemple, préciser tous les moyens mis en œuvre pour limiter le risque de fraude et d’identification trompeuse, y compris les procédures de vérification de l’identité des bénéficiaires ou d’identification biométrique aux points de paiement/retrait/décaissement. </w:t>
            </w:r>
            <w:r>
              <w:rPr>
                <w:b/>
                <w:color w:val="1F4E79" w:themeColor="accent1" w:themeShade="80"/>
                <w:sz w:val="21"/>
                <w:szCs w:val="21"/>
              </w:rPr>
              <w:t>(</w:t>
            </w:r>
            <w:r>
              <w:rPr>
                <w:b/>
                <w:color w:val="1F4E79" w:themeColor="accent1" w:themeShade="80"/>
                <w:sz w:val="21"/>
                <w:szCs w:val="21"/>
                <w:u w:val="single"/>
              </w:rPr>
              <w:t>20 points</w:t>
            </w:r>
            <w:r>
              <w:rPr>
                <w:b/>
                <w:color w:val="1F4E79" w:themeColor="accent1" w:themeShade="80"/>
                <w:sz w:val="21"/>
                <w:szCs w:val="21"/>
              </w:rPr>
              <w:t>)</w:t>
            </w:r>
          </w:p>
        </w:tc>
      </w:tr>
      <w:tr w:rsidR="00DF6A01" w:rsidRPr="00687A69" w14:paraId="31801F3F"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E69A4B" w14:textId="77777777" w:rsidR="00DF6A01" w:rsidRDefault="00DF6A01" w:rsidP="00043A2B">
            <w:pPr>
              <w:spacing w:before="60" w:after="60" w:line="240" w:lineRule="auto"/>
              <w:contextualSpacing/>
              <w:rPr>
                <w:rFonts w:eastAsia="Times New Roman" w:cs="Arial"/>
                <w:sz w:val="21"/>
                <w:szCs w:val="21"/>
                <w:lang w:eastAsia="en-GB"/>
              </w:rPr>
            </w:pPr>
          </w:p>
          <w:p w14:paraId="6E98035D" w14:textId="77777777" w:rsidR="00330EF9" w:rsidRPr="00687A69" w:rsidRDefault="00330EF9" w:rsidP="00043A2B">
            <w:pPr>
              <w:spacing w:before="60" w:after="60" w:line="240" w:lineRule="auto"/>
              <w:contextualSpacing/>
              <w:rPr>
                <w:rFonts w:eastAsia="Times New Roman" w:cs="Arial"/>
                <w:sz w:val="21"/>
                <w:szCs w:val="21"/>
                <w:lang w:eastAsia="en-GB"/>
              </w:rPr>
            </w:pPr>
          </w:p>
          <w:p w14:paraId="18B9F887" w14:textId="77777777" w:rsidR="00DF6A01" w:rsidRPr="008D403F" w:rsidRDefault="00DF6A01" w:rsidP="00043A2B">
            <w:pPr>
              <w:spacing w:before="60" w:after="60" w:line="240" w:lineRule="auto"/>
              <w:contextualSpacing/>
              <w:rPr>
                <w:rFonts w:eastAsia="Times New Roman" w:cs="Arial"/>
                <w:sz w:val="21"/>
                <w:szCs w:val="21"/>
                <w:lang w:eastAsia="en-GB"/>
              </w:rPr>
            </w:pPr>
          </w:p>
        </w:tc>
      </w:tr>
      <w:tr w:rsidR="00DF6A01" w:rsidRPr="00687A69" w14:paraId="55295C38"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1B3B8350" w14:textId="188B1F46" w:rsidR="00DF6A01" w:rsidRPr="00687A69" w:rsidRDefault="00DF6A01" w:rsidP="00AC3396">
            <w:pPr>
              <w:spacing w:before="60" w:after="60" w:line="240" w:lineRule="auto"/>
              <w:contextualSpacing/>
              <w:rPr>
                <w:rFonts w:eastAsia="Times New Roman" w:cs="Arial"/>
                <w:sz w:val="21"/>
                <w:szCs w:val="21"/>
              </w:rPr>
            </w:pPr>
            <w:r>
              <w:rPr>
                <w:b/>
                <w:sz w:val="21"/>
                <w:szCs w:val="21"/>
              </w:rPr>
              <w:t>3e)</w:t>
            </w:r>
            <w:r>
              <w:rPr>
                <w:sz w:val="21"/>
                <w:szCs w:val="21"/>
              </w:rPr>
              <w:t xml:space="preserve"> Décrire les capacités et l’appui d’un </w:t>
            </w:r>
            <w:r>
              <w:rPr>
                <w:b/>
                <w:bCs/>
                <w:sz w:val="21"/>
                <w:szCs w:val="21"/>
              </w:rPr>
              <w:t>dispositif de</w:t>
            </w:r>
            <w:r>
              <w:rPr>
                <w:sz w:val="21"/>
                <w:szCs w:val="21"/>
              </w:rPr>
              <w:t xml:space="preserve"> </w:t>
            </w:r>
            <w:r>
              <w:rPr>
                <w:b/>
                <w:sz w:val="21"/>
                <w:szCs w:val="21"/>
              </w:rPr>
              <w:t>trésorerie commune</w:t>
            </w:r>
            <w:r>
              <w:rPr>
                <w:sz w:val="21"/>
                <w:szCs w:val="21"/>
              </w:rPr>
              <w:t xml:space="preserve">, (par exemple, l’ouverture de plusieurs portefeuilles sur le même compte pour utilisation par d’autres institutions). </w:t>
            </w:r>
            <w:r>
              <w:rPr>
                <w:b/>
                <w:color w:val="1F4E79" w:themeColor="accent1" w:themeShade="80"/>
                <w:sz w:val="21"/>
                <w:szCs w:val="21"/>
              </w:rPr>
              <w:t>(</w:t>
            </w:r>
            <w:r>
              <w:rPr>
                <w:b/>
                <w:color w:val="1F4E79" w:themeColor="accent1" w:themeShade="80"/>
                <w:sz w:val="21"/>
                <w:szCs w:val="21"/>
                <w:u w:val="single"/>
              </w:rPr>
              <w:t>20 points</w:t>
            </w:r>
            <w:r>
              <w:rPr>
                <w:b/>
                <w:color w:val="1F4E79" w:themeColor="accent1" w:themeShade="80"/>
                <w:sz w:val="21"/>
                <w:szCs w:val="21"/>
              </w:rPr>
              <w:t>)</w:t>
            </w:r>
          </w:p>
        </w:tc>
      </w:tr>
      <w:tr w:rsidR="00DF6A01" w:rsidRPr="00687A69" w14:paraId="3CE3E942"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EC3A71D" w14:textId="77777777" w:rsidR="00DF6A01" w:rsidRPr="00687A69" w:rsidRDefault="00DF6A01" w:rsidP="00043A2B">
            <w:pPr>
              <w:spacing w:before="60" w:after="60" w:line="240" w:lineRule="auto"/>
              <w:contextualSpacing/>
              <w:rPr>
                <w:rFonts w:eastAsia="Times New Roman" w:cs="Arial"/>
                <w:sz w:val="21"/>
                <w:szCs w:val="21"/>
                <w:lang w:eastAsia="en-GB"/>
              </w:rPr>
            </w:pPr>
          </w:p>
          <w:p w14:paraId="58C5F7A0" w14:textId="77777777" w:rsidR="00DF6A01" w:rsidRDefault="00DF6A01" w:rsidP="00043A2B">
            <w:pPr>
              <w:spacing w:before="60" w:after="60" w:line="240" w:lineRule="auto"/>
              <w:contextualSpacing/>
              <w:rPr>
                <w:rFonts w:eastAsia="Times New Roman" w:cs="Arial"/>
                <w:sz w:val="21"/>
                <w:szCs w:val="21"/>
                <w:lang w:eastAsia="en-GB"/>
              </w:rPr>
            </w:pPr>
          </w:p>
          <w:p w14:paraId="22EEC40D" w14:textId="77777777" w:rsidR="00330EF9" w:rsidRPr="00687A69" w:rsidRDefault="00330EF9" w:rsidP="00043A2B">
            <w:pPr>
              <w:spacing w:before="60" w:after="60" w:line="240" w:lineRule="auto"/>
              <w:contextualSpacing/>
              <w:rPr>
                <w:rFonts w:eastAsia="Times New Roman" w:cs="Arial"/>
                <w:sz w:val="21"/>
                <w:szCs w:val="21"/>
                <w:lang w:eastAsia="en-GB"/>
              </w:rPr>
            </w:pPr>
          </w:p>
        </w:tc>
      </w:tr>
      <w:tr w:rsidR="00DF6A01" w:rsidRPr="00687A69" w14:paraId="1EE9D6C9"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DEEAF6" w:themeFill="accent1" w:themeFillTint="33"/>
            <w:tcMar>
              <w:top w:w="0" w:type="dxa"/>
              <w:left w:w="108" w:type="dxa"/>
              <w:bottom w:w="0" w:type="dxa"/>
              <w:right w:w="108" w:type="dxa"/>
            </w:tcMar>
            <w:vAlign w:val="center"/>
          </w:tcPr>
          <w:p w14:paraId="6B650E7E" w14:textId="4538567C" w:rsidR="00DF6A01" w:rsidRPr="008A5171" w:rsidRDefault="00DF6A01" w:rsidP="008D403F">
            <w:pPr>
              <w:spacing w:before="60" w:after="60" w:line="240" w:lineRule="auto"/>
              <w:contextualSpacing/>
              <w:rPr>
                <w:rFonts w:eastAsia="Times New Roman" w:cs="Arial"/>
                <w:sz w:val="21"/>
                <w:szCs w:val="21"/>
              </w:rPr>
            </w:pPr>
            <w:r>
              <w:rPr>
                <w:b/>
                <w:sz w:val="21"/>
                <w:szCs w:val="21"/>
              </w:rPr>
              <w:t xml:space="preserve">4.  Intégration au </w:t>
            </w:r>
            <w:r>
              <w:rPr>
                <w:b/>
                <w:bCs/>
                <w:sz w:val="21"/>
                <w:szCs w:val="21"/>
                <w:u w:val="single"/>
              </w:rPr>
              <w:t>système de planification des ressources d’entreprise (ERP) du HCR pour la présentation des paiements</w:t>
            </w:r>
            <w:r>
              <w:rPr>
                <w:b/>
                <w:sz w:val="21"/>
                <w:szCs w:val="21"/>
              </w:rPr>
              <w:t xml:space="preserve"> </w:t>
            </w:r>
            <w:r>
              <w:rPr>
                <w:b/>
                <w:color w:val="1F4E79" w:themeColor="accent1" w:themeShade="80"/>
                <w:sz w:val="21"/>
                <w:szCs w:val="21"/>
              </w:rPr>
              <w:t>(</w:t>
            </w:r>
            <w:r>
              <w:rPr>
                <w:b/>
                <w:color w:val="1F4E79" w:themeColor="accent1" w:themeShade="80"/>
                <w:sz w:val="21"/>
                <w:szCs w:val="21"/>
                <w:u w:val="single"/>
              </w:rPr>
              <w:t>80 points, barème détaillé ci-dessous</w:t>
            </w:r>
            <w:r>
              <w:rPr>
                <w:b/>
                <w:color w:val="1F4E79" w:themeColor="accent1" w:themeShade="80"/>
                <w:sz w:val="21"/>
                <w:szCs w:val="21"/>
              </w:rPr>
              <w:t xml:space="preserve">)  </w:t>
            </w:r>
          </w:p>
        </w:tc>
      </w:tr>
      <w:tr w:rsidR="00DF6A01" w:rsidRPr="00687A69" w14:paraId="69489499" w14:textId="77777777" w:rsidTr="004A04E4">
        <w:trPr>
          <w:trHeight w:val="176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0B250D05" w14:textId="3FC538D3" w:rsidR="004A04E4" w:rsidRPr="004A04E4" w:rsidRDefault="00E86CE3" w:rsidP="004A04E4">
            <w:pPr>
              <w:spacing w:before="240" w:after="0" w:line="240" w:lineRule="auto"/>
              <w:contextualSpacing/>
              <w:rPr>
                <w:rFonts w:cs="Arial"/>
                <w:sz w:val="21"/>
                <w:szCs w:val="21"/>
              </w:rPr>
            </w:pPr>
            <w:r>
              <w:rPr>
                <w:b/>
                <w:sz w:val="21"/>
                <w:szCs w:val="21"/>
              </w:rPr>
              <w:lastRenderedPageBreak/>
              <w:t>4a)</w:t>
            </w:r>
            <w:r>
              <w:rPr>
                <w:sz w:val="21"/>
                <w:szCs w:val="21"/>
              </w:rPr>
              <w:t xml:space="preserve"> Indiquer si le prestataire de services financiers pourra être intégré au système d’ERP du HCR, et préciser notamment le type d’intégration</w:t>
            </w:r>
            <w:r>
              <w:rPr>
                <w:b/>
                <w:sz w:val="21"/>
                <w:szCs w:val="21"/>
              </w:rPr>
              <w:t xml:space="preserve"> (intégration API, protocole SFTP et Host to Host) </w:t>
            </w:r>
            <w:r>
              <w:rPr>
                <w:sz w:val="21"/>
                <w:szCs w:val="21"/>
              </w:rPr>
              <w:t xml:space="preserve">que le prestataire de services financiers peut fournir, ainsi que la capacité du prestataire à respecter les </w:t>
            </w:r>
            <w:r>
              <w:rPr>
                <w:b/>
                <w:sz w:val="21"/>
                <w:szCs w:val="21"/>
              </w:rPr>
              <w:t>exigences minimales</w:t>
            </w:r>
            <w:r>
              <w:rPr>
                <w:sz w:val="21"/>
                <w:szCs w:val="21"/>
              </w:rPr>
              <w:t xml:space="preserve"> spécifiées dans les </w:t>
            </w:r>
            <w:proofErr w:type="spellStart"/>
            <w:r>
              <w:rPr>
                <w:sz w:val="21"/>
                <w:szCs w:val="21"/>
              </w:rPr>
              <w:t>TdR</w:t>
            </w:r>
            <w:proofErr w:type="spellEnd"/>
            <w:r>
              <w:rPr>
                <w:sz w:val="21"/>
                <w:szCs w:val="21"/>
              </w:rPr>
              <w:t xml:space="preserve"> </w:t>
            </w:r>
            <w:r>
              <w:rPr>
                <w:b/>
                <w:color w:val="1F4E79" w:themeColor="accent1" w:themeShade="80"/>
                <w:sz w:val="21"/>
                <w:szCs w:val="21"/>
              </w:rPr>
              <w:t>(</w:t>
            </w:r>
            <w:r>
              <w:rPr>
                <w:b/>
                <w:color w:val="1F4E79" w:themeColor="accent1" w:themeShade="80"/>
                <w:sz w:val="21"/>
                <w:szCs w:val="21"/>
                <w:u w:val="single"/>
              </w:rPr>
              <w:t>50 points</w:t>
            </w:r>
            <w:r>
              <w:rPr>
                <w:b/>
                <w:color w:val="1F4E79" w:themeColor="accent1" w:themeShade="80"/>
                <w:sz w:val="21"/>
                <w:szCs w:val="21"/>
              </w:rPr>
              <w:t>)</w:t>
            </w:r>
          </w:p>
          <w:p w14:paraId="634BF419" w14:textId="77777777" w:rsidR="004A04E4" w:rsidRPr="004A04E4" w:rsidRDefault="004A04E4" w:rsidP="004A04E4">
            <w:pPr>
              <w:spacing w:before="240" w:after="0" w:line="240" w:lineRule="auto"/>
              <w:ind w:left="308"/>
              <w:contextualSpacing/>
              <w:rPr>
                <w:rFonts w:eastAsia="Arial Unicode MS" w:cs="Arial"/>
                <w:sz w:val="21"/>
                <w:szCs w:val="21"/>
              </w:rPr>
            </w:pPr>
            <w:r>
              <w:rPr>
                <w:i/>
                <w:iCs/>
                <w:sz w:val="21"/>
                <w:szCs w:val="21"/>
              </w:rPr>
              <w:t>En outre </w:t>
            </w:r>
            <w:r>
              <w:rPr>
                <w:sz w:val="21"/>
                <w:szCs w:val="21"/>
              </w:rPr>
              <w:t>:</w:t>
            </w:r>
          </w:p>
          <w:p w14:paraId="1E49A3F0" w14:textId="77777777" w:rsidR="004A04E4" w:rsidRPr="004A04E4" w:rsidRDefault="008A5171" w:rsidP="004A04E4">
            <w:pPr>
              <w:pStyle w:val="Paragraphedeliste"/>
              <w:numPr>
                <w:ilvl w:val="0"/>
                <w:numId w:val="1"/>
              </w:numPr>
              <w:spacing w:before="0" w:beforeAutospacing="0" w:after="0"/>
              <w:ind w:left="733"/>
              <w:contextualSpacing/>
              <w:rPr>
                <w:rFonts w:asciiTheme="minorHAnsi" w:eastAsia="Arial Unicode MS" w:hAnsiTheme="minorHAnsi" w:cs="Arial"/>
                <w:sz w:val="20"/>
                <w:szCs w:val="20"/>
              </w:rPr>
            </w:pPr>
            <w:r>
              <w:rPr>
                <w:rFonts w:asciiTheme="minorHAnsi" w:hAnsiTheme="minorHAnsi"/>
                <w:sz w:val="20"/>
                <w:szCs w:val="20"/>
              </w:rPr>
              <w:t xml:space="preserve">Si protocole </w:t>
            </w:r>
            <w:r>
              <w:rPr>
                <w:rFonts w:asciiTheme="minorHAnsi" w:hAnsiTheme="minorHAnsi"/>
                <w:b/>
                <w:sz w:val="20"/>
                <w:szCs w:val="20"/>
              </w:rPr>
              <w:t>SFTP</w:t>
            </w:r>
            <w:r>
              <w:rPr>
                <w:rFonts w:asciiTheme="minorHAnsi" w:hAnsiTheme="minorHAnsi"/>
                <w:sz w:val="20"/>
                <w:szCs w:val="20"/>
              </w:rPr>
              <w:t>, préciser si le prestataire de services financiers peut garantir l’échange de messages XML standards (ISO 20022 volet 001 et volet 002) dans le dossier de partage défini et peut satisfaire aux clés de sécurité</w:t>
            </w:r>
          </w:p>
          <w:p w14:paraId="65651B49" w14:textId="6156423F" w:rsidR="004A04E4" w:rsidRPr="004A04E4" w:rsidRDefault="008A5171" w:rsidP="004A04E4">
            <w:pPr>
              <w:pStyle w:val="Paragraphedeliste"/>
              <w:numPr>
                <w:ilvl w:val="0"/>
                <w:numId w:val="1"/>
              </w:numPr>
              <w:spacing w:before="0" w:beforeAutospacing="0" w:after="0"/>
              <w:ind w:left="733"/>
              <w:contextualSpacing/>
              <w:rPr>
                <w:rFonts w:asciiTheme="minorHAnsi" w:eastAsia="Arial Unicode MS" w:hAnsiTheme="minorHAnsi" w:cs="Arial"/>
                <w:sz w:val="20"/>
                <w:szCs w:val="20"/>
              </w:rPr>
            </w:pPr>
            <w:r>
              <w:rPr>
                <w:rFonts w:asciiTheme="minorHAnsi" w:hAnsiTheme="minorHAnsi"/>
                <w:sz w:val="20"/>
                <w:szCs w:val="20"/>
              </w:rPr>
              <w:t xml:space="preserve">Si protocole </w:t>
            </w:r>
            <w:r>
              <w:rPr>
                <w:rFonts w:asciiTheme="minorHAnsi" w:hAnsiTheme="minorHAnsi"/>
                <w:b/>
                <w:sz w:val="20"/>
                <w:szCs w:val="20"/>
              </w:rPr>
              <w:t>Host to Host</w:t>
            </w:r>
            <w:r>
              <w:rPr>
                <w:rFonts w:asciiTheme="minorHAnsi" w:hAnsiTheme="minorHAnsi"/>
                <w:sz w:val="20"/>
                <w:szCs w:val="20"/>
              </w:rPr>
              <w:t xml:space="preserve">, préciser si le prestataire de services financiers peut garantir l’échange de messages XML standards (ISO 20022 volet 001 et volet 002) dans le dossier de partage défini, avec un protocole Host to Host installé </w:t>
            </w:r>
          </w:p>
          <w:p w14:paraId="06C80AA6" w14:textId="23ECE7D8" w:rsidR="00DB08F0" w:rsidRPr="004A04E4" w:rsidRDefault="00E86CE3" w:rsidP="004A04E4">
            <w:pPr>
              <w:pStyle w:val="Paragraphedeliste"/>
              <w:numPr>
                <w:ilvl w:val="0"/>
                <w:numId w:val="1"/>
              </w:numPr>
              <w:spacing w:before="0" w:beforeAutospacing="0" w:after="0" w:afterAutospacing="0"/>
              <w:ind w:left="731" w:hanging="357"/>
              <w:contextualSpacing/>
              <w:rPr>
                <w:rFonts w:asciiTheme="minorHAnsi" w:eastAsia="Arial Unicode MS" w:hAnsiTheme="minorHAnsi" w:cs="Arial"/>
                <w:sz w:val="21"/>
                <w:szCs w:val="21"/>
              </w:rPr>
            </w:pPr>
            <w:r>
              <w:rPr>
                <w:rFonts w:asciiTheme="minorHAnsi" w:hAnsiTheme="minorHAnsi"/>
                <w:sz w:val="20"/>
                <w:szCs w:val="20"/>
              </w:rPr>
              <w:t xml:space="preserve">Si </w:t>
            </w:r>
            <w:r>
              <w:rPr>
                <w:rFonts w:asciiTheme="minorHAnsi" w:hAnsiTheme="minorHAnsi"/>
                <w:b/>
                <w:sz w:val="20"/>
                <w:szCs w:val="20"/>
              </w:rPr>
              <w:t>API </w:t>
            </w:r>
            <w:r>
              <w:rPr>
                <w:rFonts w:asciiTheme="minorHAnsi" w:hAnsiTheme="minorHAnsi"/>
                <w:sz w:val="20"/>
                <w:szCs w:val="20"/>
              </w:rPr>
              <w:t>: fournir des informations détaillées, notamment tout document pertinent</w:t>
            </w:r>
            <w:r>
              <w:rPr>
                <w:sz w:val="21"/>
                <w:szCs w:val="21"/>
              </w:rPr>
              <w:t xml:space="preserve"> </w:t>
            </w:r>
          </w:p>
        </w:tc>
      </w:tr>
      <w:tr w:rsidR="00E86CE3" w:rsidRPr="00687A69" w14:paraId="2D1E4E77"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92C43E2" w14:textId="77777777" w:rsidR="00E86CE3" w:rsidRDefault="00E86CE3" w:rsidP="008A4ECB">
            <w:pPr>
              <w:spacing w:before="60" w:after="60" w:line="240" w:lineRule="auto"/>
              <w:contextualSpacing/>
              <w:rPr>
                <w:rFonts w:eastAsia="Times New Roman" w:cs="Arial"/>
                <w:sz w:val="21"/>
                <w:szCs w:val="21"/>
                <w:lang w:eastAsia="en-GB"/>
              </w:rPr>
            </w:pPr>
          </w:p>
          <w:p w14:paraId="3DA40A96" w14:textId="77777777" w:rsidR="004A04E4" w:rsidRDefault="004A04E4" w:rsidP="008A4ECB">
            <w:pPr>
              <w:spacing w:before="60" w:after="60" w:line="240" w:lineRule="auto"/>
              <w:contextualSpacing/>
              <w:rPr>
                <w:rFonts w:eastAsia="Times New Roman" w:cs="Arial"/>
                <w:sz w:val="21"/>
                <w:szCs w:val="21"/>
                <w:lang w:eastAsia="en-GB"/>
              </w:rPr>
            </w:pPr>
          </w:p>
          <w:p w14:paraId="45B0DD15" w14:textId="77777777" w:rsidR="004A04E4" w:rsidRPr="004A04E4" w:rsidRDefault="004A04E4" w:rsidP="008A4ECB">
            <w:pPr>
              <w:spacing w:before="60" w:after="60" w:line="240" w:lineRule="auto"/>
              <w:contextualSpacing/>
              <w:rPr>
                <w:rFonts w:eastAsia="Times New Roman" w:cs="Arial"/>
                <w:sz w:val="21"/>
                <w:szCs w:val="21"/>
                <w:lang w:eastAsia="en-GB"/>
              </w:rPr>
            </w:pPr>
          </w:p>
        </w:tc>
      </w:tr>
      <w:tr w:rsidR="00E86CE3" w:rsidRPr="00687A69" w14:paraId="4323763E" w14:textId="77777777" w:rsidTr="00A73A66">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295EBEDD" w14:textId="670495FC" w:rsidR="00A73A66" w:rsidRPr="00A73A66" w:rsidRDefault="00E86CE3" w:rsidP="00A73A66">
            <w:pPr>
              <w:pStyle w:val="Paragraphedeliste"/>
              <w:shd w:val="clear" w:color="auto" w:fill="F2F2F2" w:themeFill="background1" w:themeFillShade="F2"/>
              <w:spacing w:before="0" w:beforeAutospacing="0" w:after="0" w:afterAutospacing="0"/>
              <w:contextualSpacing/>
              <w:rPr>
                <w:rFonts w:asciiTheme="minorHAnsi" w:hAnsiTheme="minorHAnsi" w:cs="Arial"/>
                <w:sz w:val="21"/>
                <w:szCs w:val="21"/>
              </w:rPr>
            </w:pPr>
            <w:r>
              <w:rPr>
                <w:rFonts w:asciiTheme="minorHAnsi" w:hAnsiTheme="minorHAnsi"/>
                <w:b/>
                <w:sz w:val="21"/>
                <w:szCs w:val="21"/>
              </w:rPr>
              <w:t>4b)</w:t>
            </w:r>
            <w:r>
              <w:rPr>
                <w:rFonts w:asciiTheme="minorHAnsi" w:hAnsiTheme="minorHAnsi"/>
                <w:sz w:val="21"/>
                <w:szCs w:val="21"/>
              </w:rPr>
              <w:t xml:space="preserve"> Dans les cases à cocher ci-dessous, préciser (OUI/NON) si le prestataire de services financiers est capable de fournir les services ci-après : </w:t>
            </w:r>
            <w:r>
              <w:rPr>
                <w:rFonts w:asciiTheme="minorHAnsi" w:hAnsiTheme="minorHAnsi"/>
                <w:color w:val="1F4E79" w:themeColor="accent1" w:themeShade="80"/>
                <w:sz w:val="21"/>
                <w:szCs w:val="21"/>
                <w:u w:val="single"/>
              </w:rPr>
              <w:t>(</w:t>
            </w:r>
            <w:r>
              <w:rPr>
                <w:rFonts w:asciiTheme="minorHAnsi" w:hAnsiTheme="minorHAnsi"/>
                <w:b/>
                <w:bCs/>
                <w:color w:val="1F4E79" w:themeColor="accent1" w:themeShade="80"/>
                <w:sz w:val="21"/>
                <w:szCs w:val="21"/>
                <w:u w:val="single"/>
              </w:rPr>
              <w:t>20 points au total</w:t>
            </w:r>
            <w:r>
              <w:rPr>
                <w:rFonts w:asciiTheme="minorHAnsi" w:hAnsiTheme="minorHAnsi"/>
                <w:color w:val="1F4E79" w:themeColor="accent1" w:themeShade="80"/>
                <w:sz w:val="21"/>
                <w:szCs w:val="21"/>
                <w:u w:val="single"/>
              </w:rPr>
              <w:t>, 4 points pour chaque réponse positive</w:t>
            </w:r>
            <w:r>
              <w:rPr>
                <w:rFonts w:asciiTheme="minorHAnsi" w:hAnsiTheme="minorHAnsi"/>
                <w:b/>
                <w:color w:val="1F4E79" w:themeColor="accent1" w:themeShade="80"/>
                <w:sz w:val="21"/>
                <w:szCs w:val="21"/>
              </w:rPr>
              <w:t>)</w:t>
            </w:r>
          </w:p>
          <w:p w14:paraId="58EC4C5A" w14:textId="68C8D760" w:rsidR="004A04E4" w:rsidRPr="00A73A66" w:rsidRDefault="00A73A66" w:rsidP="00A73A66">
            <w:pPr>
              <w:pStyle w:val="Paragraphedeliste"/>
              <w:numPr>
                <w:ilvl w:val="0"/>
                <w:numId w:val="12"/>
              </w:numPr>
              <w:shd w:val="clear" w:color="auto" w:fill="F2F2F2" w:themeFill="background1" w:themeFillShade="F2"/>
              <w:spacing w:before="0" w:beforeAutospacing="0" w:after="0" w:afterAutospacing="0"/>
              <w:contextualSpacing/>
              <w:rPr>
                <w:rFonts w:asciiTheme="minorHAnsi" w:hAnsiTheme="minorHAnsi" w:cs="Arial"/>
                <w:sz w:val="21"/>
                <w:szCs w:val="21"/>
              </w:rPr>
            </w:pPr>
            <w:r>
              <w:rPr>
                <w:rFonts w:asciiTheme="minorHAnsi" w:hAnsiTheme="minorHAnsi"/>
                <w:sz w:val="21"/>
                <w:szCs w:val="21"/>
              </w:rPr>
              <w:t>Accusé de réception du message : doit être envoyé une fois que le message est reçu par le prestataire de services financiers Les commentaires sont transmis au système d’ERP.</w:t>
            </w:r>
          </w:p>
          <w:p w14:paraId="6348A43B" w14:textId="12A7163C" w:rsidR="004A04E4" w:rsidRPr="00A73A66" w:rsidRDefault="00E8094A" w:rsidP="00A73A66">
            <w:pPr>
              <w:spacing w:after="0"/>
              <w:ind w:left="1080"/>
              <w:contextualSpacing/>
              <w:rPr>
                <w:rFonts w:eastAsia="Arial Unicode MS" w:cs="Arial"/>
                <w:b/>
                <w:sz w:val="21"/>
                <w:szCs w:val="21"/>
              </w:rPr>
            </w:pPr>
            <w:r>
              <w:rPr>
                <w:b/>
                <w:sz w:val="21"/>
                <w:szCs w:val="21"/>
              </w:rPr>
              <w:t xml:space="preserve"> Oui   </w:t>
            </w:r>
            <w:sdt>
              <w:sdtPr>
                <w:rPr>
                  <w:rFonts w:eastAsia="MS Gothic" w:cs="Arial"/>
                  <w:b/>
                  <w:sz w:val="21"/>
                  <w:szCs w:val="21"/>
                </w:rPr>
                <w:id w:val="564539174"/>
                <w14:checkbox>
                  <w14:checked w14:val="0"/>
                  <w14:checkedState w14:val="2612" w14:font="MS Gothic"/>
                  <w14:uncheckedState w14:val="2610" w14:font="MS Gothic"/>
                </w14:checkbox>
              </w:sdtPr>
              <w:sdtContent>
                <w:r w:rsidR="004A04E4" w:rsidRPr="00A73A66">
                  <w:rPr>
                    <w:rFonts w:ascii="Segoe UI Symbol" w:eastAsia="MS Gothic" w:hAnsi="Segoe UI Symbol" w:cs="Segoe UI Symbol"/>
                    <w:b/>
                    <w:sz w:val="21"/>
                    <w:szCs w:val="21"/>
                  </w:rPr>
                  <w:t>☐</w:t>
                </w:r>
              </w:sdtContent>
            </w:sdt>
            <w:r>
              <w:rPr>
                <w:b/>
                <w:sz w:val="21"/>
                <w:szCs w:val="21"/>
              </w:rPr>
              <w:t xml:space="preserve">           Non </w:t>
            </w:r>
            <w:sdt>
              <w:sdtPr>
                <w:rPr>
                  <w:rFonts w:eastAsia="MS Gothic" w:cs="Arial"/>
                  <w:b/>
                  <w:sz w:val="21"/>
                  <w:szCs w:val="21"/>
                </w:rPr>
                <w:id w:val="622424583"/>
                <w14:checkbox>
                  <w14:checked w14:val="0"/>
                  <w14:checkedState w14:val="2612" w14:font="MS Gothic"/>
                  <w14:uncheckedState w14:val="2610" w14:font="MS Gothic"/>
                </w14:checkbox>
              </w:sdtPr>
              <w:sdtContent>
                <w:r w:rsidR="004A04E4" w:rsidRPr="00A73A66">
                  <w:rPr>
                    <w:rFonts w:ascii="Segoe UI Symbol" w:eastAsia="MS Gothic" w:hAnsi="Segoe UI Symbol" w:cs="Segoe UI Symbol"/>
                    <w:b/>
                    <w:sz w:val="21"/>
                    <w:szCs w:val="21"/>
                  </w:rPr>
                  <w:t>☐</w:t>
                </w:r>
              </w:sdtContent>
            </w:sdt>
            <w:r>
              <w:rPr>
                <w:b/>
                <w:sz w:val="21"/>
                <w:szCs w:val="21"/>
              </w:rPr>
              <w:t xml:space="preserve">                                                                                                                                                                                                                            </w:t>
            </w:r>
          </w:p>
          <w:p w14:paraId="57B550F2" w14:textId="0513A298" w:rsidR="004A04E4" w:rsidRPr="00A73A66" w:rsidRDefault="004A04E4" w:rsidP="00A73A66">
            <w:pPr>
              <w:pStyle w:val="Paragraphedeliste"/>
              <w:numPr>
                <w:ilvl w:val="0"/>
                <w:numId w:val="12"/>
              </w:numPr>
              <w:shd w:val="clear" w:color="auto" w:fill="F2F2F2" w:themeFill="background1" w:themeFillShade="F2"/>
              <w:spacing w:before="0" w:beforeAutospacing="0" w:after="0" w:afterAutospacing="0"/>
              <w:contextualSpacing/>
              <w:rPr>
                <w:rFonts w:asciiTheme="minorHAnsi" w:hAnsiTheme="minorHAnsi" w:cs="Arial"/>
                <w:sz w:val="21"/>
                <w:szCs w:val="21"/>
              </w:rPr>
            </w:pPr>
            <w:r>
              <w:rPr>
                <w:rFonts w:asciiTheme="minorHAnsi" w:hAnsiTheme="minorHAnsi"/>
                <w:sz w:val="21"/>
                <w:szCs w:val="21"/>
              </w:rPr>
              <w:t xml:space="preserve">Accusé de réception du paiement : doit être envoyé une fois que le paiement au bénéficiaire est exécuté. Les commentaires sont transmis au système d’ERP.     </w:t>
            </w:r>
          </w:p>
          <w:p w14:paraId="49529447" w14:textId="464891D5" w:rsidR="004A04E4" w:rsidRPr="00A73A66" w:rsidRDefault="004A04E4" w:rsidP="00A73A66">
            <w:pPr>
              <w:spacing w:after="0"/>
              <w:ind w:left="1080"/>
              <w:contextualSpacing/>
              <w:rPr>
                <w:rFonts w:eastAsia="Arial Unicode MS" w:cs="Arial"/>
                <w:b/>
                <w:sz w:val="21"/>
                <w:szCs w:val="21"/>
              </w:rPr>
            </w:pPr>
            <w:r>
              <w:rPr>
                <w:b/>
                <w:sz w:val="21"/>
                <w:szCs w:val="21"/>
              </w:rPr>
              <w:t xml:space="preserve">Oui   </w:t>
            </w:r>
            <w:sdt>
              <w:sdtPr>
                <w:rPr>
                  <w:rFonts w:eastAsia="MS Gothic" w:cs="Arial"/>
                  <w:b/>
                  <w:sz w:val="21"/>
                  <w:szCs w:val="21"/>
                </w:rPr>
                <w:id w:val="1076327840"/>
                <w14:checkbox>
                  <w14:checked w14:val="0"/>
                  <w14:checkedState w14:val="2612" w14:font="MS Gothic"/>
                  <w14:uncheckedState w14:val="2610" w14:font="MS Gothic"/>
                </w14:checkbox>
              </w:sdtPr>
              <w:sdtContent>
                <w:r w:rsidRPr="00A73A66">
                  <w:rPr>
                    <w:rFonts w:ascii="Segoe UI Symbol" w:eastAsia="MS Gothic" w:hAnsi="Segoe UI Symbol" w:cs="Segoe UI Symbol"/>
                    <w:b/>
                    <w:sz w:val="21"/>
                    <w:szCs w:val="21"/>
                  </w:rPr>
                  <w:t>☐</w:t>
                </w:r>
              </w:sdtContent>
            </w:sdt>
            <w:r>
              <w:rPr>
                <w:b/>
                <w:sz w:val="21"/>
                <w:szCs w:val="21"/>
              </w:rPr>
              <w:t xml:space="preserve">           Non </w:t>
            </w:r>
            <w:sdt>
              <w:sdtPr>
                <w:rPr>
                  <w:rFonts w:eastAsia="MS Gothic" w:cs="Arial"/>
                  <w:b/>
                  <w:sz w:val="21"/>
                  <w:szCs w:val="21"/>
                </w:rPr>
                <w:id w:val="-1005044900"/>
                <w14:checkbox>
                  <w14:checked w14:val="0"/>
                  <w14:checkedState w14:val="2612" w14:font="MS Gothic"/>
                  <w14:uncheckedState w14:val="2610" w14:font="MS Gothic"/>
                </w14:checkbox>
              </w:sdtPr>
              <w:sdtContent>
                <w:r w:rsidRPr="00A73A66">
                  <w:rPr>
                    <w:rFonts w:ascii="Segoe UI Symbol" w:eastAsia="MS Gothic" w:hAnsi="Segoe UI Symbol" w:cs="Segoe UI Symbol"/>
                    <w:b/>
                    <w:sz w:val="21"/>
                    <w:szCs w:val="21"/>
                  </w:rPr>
                  <w:t>☐</w:t>
                </w:r>
              </w:sdtContent>
            </w:sdt>
            <w:r>
              <w:rPr>
                <w:b/>
                <w:sz w:val="21"/>
                <w:szCs w:val="21"/>
              </w:rPr>
              <w:t xml:space="preserve">                                                                                            </w:t>
            </w:r>
          </w:p>
          <w:p w14:paraId="3358AD25" w14:textId="6BBA729F" w:rsidR="004A04E4" w:rsidRPr="00A73A66" w:rsidRDefault="004A04E4" w:rsidP="00B644CD">
            <w:pPr>
              <w:pStyle w:val="Paragraphedeliste"/>
              <w:numPr>
                <w:ilvl w:val="0"/>
                <w:numId w:val="12"/>
              </w:numPr>
              <w:shd w:val="clear" w:color="auto" w:fill="F2F2F2" w:themeFill="background1" w:themeFillShade="F2"/>
              <w:spacing w:before="0" w:beforeAutospacing="0" w:after="0" w:afterAutospacing="0"/>
              <w:contextualSpacing/>
              <w:rPr>
                <w:rFonts w:asciiTheme="minorHAnsi" w:hAnsiTheme="minorHAnsi" w:cs="Arial"/>
                <w:sz w:val="21"/>
                <w:szCs w:val="21"/>
              </w:rPr>
            </w:pPr>
            <w:r>
              <w:rPr>
                <w:rFonts w:asciiTheme="minorHAnsi" w:hAnsiTheme="minorHAnsi"/>
                <w:sz w:val="21"/>
                <w:szCs w:val="21"/>
              </w:rPr>
              <w:t xml:space="preserve">Gestion des frais : les frais sont facturés une fois par mois via une facture distincte </w:t>
            </w:r>
          </w:p>
          <w:p w14:paraId="2AEC5986" w14:textId="6B376F15" w:rsidR="004A04E4" w:rsidRPr="00A73A66" w:rsidRDefault="00E8094A" w:rsidP="00A73A66">
            <w:pPr>
              <w:spacing w:after="0"/>
              <w:ind w:left="1080"/>
              <w:contextualSpacing/>
              <w:rPr>
                <w:rFonts w:eastAsia="Arial Unicode MS" w:cs="Arial"/>
                <w:b/>
                <w:sz w:val="21"/>
                <w:szCs w:val="21"/>
              </w:rPr>
            </w:pPr>
            <w:r>
              <w:rPr>
                <w:b/>
                <w:sz w:val="21"/>
                <w:szCs w:val="21"/>
              </w:rPr>
              <w:t xml:space="preserve">Oui   </w:t>
            </w:r>
            <w:sdt>
              <w:sdtPr>
                <w:rPr>
                  <w:rFonts w:eastAsia="MS Gothic" w:cs="Arial"/>
                  <w:b/>
                  <w:sz w:val="21"/>
                  <w:szCs w:val="21"/>
                </w:rPr>
                <w:id w:val="1775905617"/>
                <w14:checkbox>
                  <w14:checked w14:val="0"/>
                  <w14:checkedState w14:val="2612" w14:font="MS Gothic"/>
                  <w14:uncheckedState w14:val="2610" w14:font="MS Gothic"/>
                </w14:checkbox>
              </w:sdtPr>
              <w:sdtContent>
                <w:r w:rsidR="004A04E4" w:rsidRPr="00A73A66">
                  <w:rPr>
                    <w:rFonts w:ascii="Segoe UI Symbol" w:eastAsia="MS Gothic" w:hAnsi="Segoe UI Symbol" w:cs="Segoe UI Symbol"/>
                    <w:b/>
                    <w:sz w:val="21"/>
                    <w:szCs w:val="21"/>
                  </w:rPr>
                  <w:t>☐</w:t>
                </w:r>
              </w:sdtContent>
            </w:sdt>
            <w:r>
              <w:rPr>
                <w:b/>
                <w:sz w:val="21"/>
                <w:szCs w:val="21"/>
              </w:rPr>
              <w:t xml:space="preserve">           Non </w:t>
            </w:r>
            <w:sdt>
              <w:sdtPr>
                <w:rPr>
                  <w:rFonts w:eastAsia="MS Gothic" w:cs="Arial"/>
                  <w:b/>
                  <w:sz w:val="21"/>
                  <w:szCs w:val="21"/>
                </w:rPr>
                <w:id w:val="577254065"/>
                <w14:checkbox>
                  <w14:checked w14:val="0"/>
                  <w14:checkedState w14:val="2612" w14:font="MS Gothic"/>
                  <w14:uncheckedState w14:val="2610" w14:font="MS Gothic"/>
                </w14:checkbox>
              </w:sdtPr>
              <w:sdtContent>
                <w:r w:rsidR="004A04E4" w:rsidRPr="00A73A66">
                  <w:rPr>
                    <w:rFonts w:ascii="Segoe UI Symbol" w:eastAsia="MS Gothic" w:hAnsi="Segoe UI Symbol" w:cs="Segoe UI Symbol"/>
                    <w:b/>
                    <w:sz w:val="21"/>
                    <w:szCs w:val="21"/>
                  </w:rPr>
                  <w:t>☐</w:t>
                </w:r>
              </w:sdtContent>
            </w:sdt>
            <w:r>
              <w:rPr>
                <w:b/>
                <w:sz w:val="21"/>
                <w:szCs w:val="21"/>
              </w:rPr>
              <w:t xml:space="preserve">                                                                                                                                                  </w:t>
            </w:r>
          </w:p>
          <w:p w14:paraId="03A7C9AA" w14:textId="4B0236CC" w:rsidR="004A04E4" w:rsidRPr="00A73A66" w:rsidRDefault="00A73A66" w:rsidP="00B644CD">
            <w:pPr>
              <w:pStyle w:val="Paragraphedeliste"/>
              <w:numPr>
                <w:ilvl w:val="0"/>
                <w:numId w:val="12"/>
              </w:numPr>
              <w:shd w:val="clear" w:color="auto" w:fill="F2F2F2" w:themeFill="background1" w:themeFillShade="F2"/>
              <w:spacing w:before="0" w:beforeAutospacing="0" w:after="0" w:afterAutospacing="0"/>
              <w:contextualSpacing/>
              <w:rPr>
                <w:rFonts w:asciiTheme="minorHAnsi" w:hAnsiTheme="minorHAnsi" w:cs="Arial"/>
                <w:sz w:val="21"/>
                <w:szCs w:val="21"/>
              </w:rPr>
            </w:pPr>
            <w:r>
              <w:rPr>
                <w:rFonts w:asciiTheme="minorHAnsi" w:hAnsiTheme="minorHAnsi"/>
                <w:sz w:val="21"/>
                <w:szCs w:val="21"/>
              </w:rPr>
              <w:t xml:space="preserve">Remboursements automatiques pour les comptes propres du HCR (si les fonds ne sont pas retirés dans un délai de 3 mois, le HCR est automatiquement remboursé) : </w:t>
            </w:r>
          </w:p>
          <w:p w14:paraId="6863609E" w14:textId="4818C3E8" w:rsidR="004A04E4" w:rsidRPr="00A73A66" w:rsidRDefault="00E8094A" w:rsidP="00A73A66">
            <w:pPr>
              <w:spacing w:after="0"/>
              <w:ind w:left="1080"/>
              <w:contextualSpacing/>
              <w:rPr>
                <w:rFonts w:eastAsia="Arial Unicode MS" w:cs="Arial"/>
                <w:b/>
                <w:sz w:val="21"/>
                <w:szCs w:val="21"/>
              </w:rPr>
            </w:pPr>
            <w:r>
              <w:rPr>
                <w:b/>
                <w:sz w:val="21"/>
                <w:szCs w:val="21"/>
              </w:rPr>
              <w:t xml:space="preserve">Oui   </w:t>
            </w:r>
            <w:sdt>
              <w:sdtPr>
                <w:rPr>
                  <w:rFonts w:eastAsia="MS Gothic" w:cs="Arial"/>
                  <w:b/>
                  <w:sz w:val="21"/>
                  <w:szCs w:val="21"/>
                </w:rPr>
                <w:id w:val="-1709722517"/>
                <w14:checkbox>
                  <w14:checked w14:val="0"/>
                  <w14:checkedState w14:val="2612" w14:font="MS Gothic"/>
                  <w14:uncheckedState w14:val="2610" w14:font="MS Gothic"/>
                </w14:checkbox>
              </w:sdtPr>
              <w:sdtContent>
                <w:r w:rsidR="004A04E4" w:rsidRPr="00A73A66">
                  <w:rPr>
                    <w:rFonts w:ascii="Segoe UI Symbol" w:eastAsia="MS Gothic" w:hAnsi="Segoe UI Symbol" w:cs="Segoe UI Symbol"/>
                    <w:b/>
                    <w:sz w:val="21"/>
                    <w:szCs w:val="21"/>
                  </w:rPr>
                  <w:t>☐</w:t>
                </w:r>
              </w:sdtContent>
            </w:sdt>
            <w:r>
              <w:rPr>
                <w:b/>
                <w:sz w:val="21"/>
                <w:szCs w:val="21"/>
              </w:rPr>
              <w:t xml:space="preserve">           Non </w:t>
            </w:r>
            <w:sdt>
              <w:sdtPr>
                <w:rPr>
                  <w:rFonts w:eastAsia="MS Gothic" w:cs="Arial"/>
                  <w:b/>
                  <w:sz w:val="21"/>
                  <w:szCs w:val="21"/>
                </w:rPr>
                <w:id w:val="-566963960"/>
                <w14:checkbox>
                  <w14:checked w14:val="0"/>
                  <w14:checkedState w14:val="2612" w14:font="MS Gothic"/>
                  <w14:uncheckedState w14:val="2610" w14:font="MS Gothic"/>
                </w14:checkbox>
              </w:sdtPr>
              <w:sdtContent>
                <w:r w:rsidR="004A04E4" w:rsidRPr="00A73A66">
                  <w:rPr>
                    <w:rFonts w:ascii="Segoe UI Symbol" w:eastAsia="MS Gothic" w:hAnsi="Segoe UI Symbol" w:cs="Segoe UI Symbol"/>
                    <w:b/>
                    <w:sz w:val="21"/>
                    <w:szCs w:val="21"/>
                  </w:rPr>
                  <w:t>☐</w:t>
                </w:r>
              </w:sdtContent>
            </w:sdt>
            <w:r>
              <w:rPr>
                <w:b/>
                <w:sz w:val="21"/>
                <w:szCs w:val="21"/>
              </w:rPr>
              <w:t xml:space="preserve">                                                                                             </w:t>
            </w:r>
          </w:p>
          <w:p w14:paraId="5836F44B" w14:textId="477E7387" w:rsidR="004A04E4" w:rsidRPr="00A73A66" w:rsidRDefault="004A04E4" w:rsidP="00B644CD">
            <w:pPr>
              <w:pStyle w:val="Paragraphedeliste"/>
              <w:numPr>
                <w:ilvl w:val="0"/>
                <w:numId w:val="12"/>
              </w:numPr>
              <w:shd w:val="clear" w:color="auto" w:fill="F2F2F2" w:themeFill="background1" w:themeFillShade="F2"/>
              <w:spacing w:before="0" w:beforeAutospacing="0" w:after="0" w:afterAutospacing="0"/>
              <w:contextualSpacing/>
              <w:rPr>
                <w:rFonts w:asciiTheme="minorHAnsi" w:hAnsiTheme="minorHAnsi" w:cs="Arial"/>
                <w:sz w:val="21"/>
                <w:szCs w:val="21"/>
              </w:rPr>
            </w:pPr>
            <w:r>
              <w:rPr>
                <w:rFonts w:asciiTheme="minorHAnsi" w:hAnsiTheme="minorHAnsi"/>
                <w:sz w:val="21"/>
                <w:szCs w:val="21"/>
              </w:rPr>
              <w:t>Capacité à distribuer les fonds monétaires pour le compte du HCR</w:t>
            </w:r>
          </w:p>
          <w:p w14:paraId="7DA52258" w14:textId="6A741FB2" w:rsidR="00E86CE3" w:rsidRPr="00A73A66" w:rsidRDefault="00E8094A" w:rsidP="00A73A66">
            <w:pPr>
              <w:spacing w:after="0"/>
              <w:ind w:left="1080"/>
              <w:contextualSpacing/>
              <w:rPr>
                <w:rFonts w:cs="Arial"/>
                <w:b/>
                <w:sz w:val="21"/>
                <w:szCs w:val="21"/>
              </w:rPr>
            </w:pPr>
            <w:r>
              <w:rPr>
                <w:b/>
                <w:sz w:val="21"/>
                <w:szCs w:val="21"/>
              </w:rPr>
              <w:t xml:space="preserve">Oui   </w:t>
            </w:r>
            <w:sdt>
              <w:sdtPr>
                <w:rPr>
                  <w:rFonts w:eastAsia="MS Gothic" w:cs="Arial"/>
                  <w:b/>
                  <w:sz w:val="21"/>
                  <w:szCs w:val="21"/>
                </w:rPr>
                <w:id w:val="-1023478222"/>
                <w14:checkbox>
                  <w14:checked w14:val="0"/>
                  <w14:checkedState w14:val="2612" w14:font="MS Gothic"/>
                  <w14:uncheckedState w14:val="2610" w14:font="MS Gothic"/>
                </w14:checkbox>
              </w:sdtPr>
              <w:sdtContent>
                <w:r w:rsidR="004A04E4" w:rsidRPr="00A73A66">
                  <w:rPr>
                    <w:rFonts w:ascii="Segoe UI Symbol" w:eastAsia="MS Gothic" w:hAnsi="Segoe UI Symbol" w:cs="Segoe UI Symbol"/>
                    <w:b/>
                    <w:sz w:val="21"/>
                    <w:szCs w:val="21"/>
                  </w:rPr>
                  <w:t>☐</w:t>
                </w:r>
              </w:sdtContent>
            </w:sdt>
            <w:r>
              <w:rPr>
                <w:b/>
                <w:sz w:val="21"/>
                <w:szCs w:val="21"/>
              </w:rPr>
              <w:t xml:space="preserve">           Non </w:t>
            </w:r>
            <w:sdt>
              <w:sdtPr>
                <w:rPr>
                  <w:rFonts w:eastAsia="MS Gothic" w:cs="Arial"/>
                  <w:b/>
                  <w:sz w:val="21"/>
                  <w:szCs w:val="21"/>
                </w:rPr>
                <w:id w:val="1450591555"/>
                <w14:checkbox>
                  <w14:checked w14:val="0"/>
                  <w14:checkedState w14:val="2612" w14:font="MS Gothic"/>
                  <w14:uncheckedState w14:val="2610" w14:font="MS Gothic"/>
                </w14:checkbox>
              </w:sdtPr>
              <w:sdtContent>
                <w:r w:rsidR="004A04E4" w:rsidRPr="00A73A66">
                  <w:rPr>
                    <w:rFonts w:ascii="Segoe UI Symbol" w:eastAsia="MS Gothic" w:hAnsi="Segoe UI Symbol" w:cs="Segoe UI Symbol"/>
                    <w:b/>
                    <w:sz w:val="21"/>
                    <w:szCs w:val="21"/>
                  </w:rPr>
                  <w:t>☐</w:t>
                </w:r>
              </w:sdtContent>
            </w:sdt>
            <w:r>
              <w:rPr>
                <w:b/>
                <w:sz w:val="21"/>
                <w:szCs w:val="21"/>
              </w:rPr>
              <w:t xml:space="preserve">                                                                                                                                                                    </w:t>
            </w:r>
          </w:p>
        </w:tc>
      </w:tr>
      <w:tr w:rsidR="00DF6A01" w:rsidRPr="00687A69" w14:paraId="0B0857E6" w14:textId="77777777" w:rsidTr="00B644CD">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7408A755" w14:textId="173BDA23" w:rsidR="00DF6A01" w:rsidRPr="00687A69" w:rsidRDefault="00A73A66" w:rsidP="00993B01">
            <w:pPr>
              <w:spacing w:before="60" w:after="60" w:line="240" w:lineRule="auto"/>
              <w:contextualSpacing/>
              <w:rPr>
                <w:rFonts w:eastAsia="Times New Roman" w:cs="Arial"/>
                <w:sz w:val="21"/>
                <w:szCs w:val="21"/>
              </w:rPr>
            </w:pPr>
            <w:r>
              <w:rPr>
                <w:b/>
                <w:sz w:val="21"/>
                <w:szCs w:val="21"/>
              </w:rPr>
              <w:t>4c)</w:t>
            </w:r>
            <w:r>
              <w:rPr>
                <w:sz w:val="21"/>
                <w:szCs w:val="21"/>
              </w:rPr>
              <w:t xml:space="preserve"> Préciser s’il existe des délais, ainsi que la durée estimée de ceux-ci, entre la réception des instructions de paiement et la distribution des fonds, ou en raison de la maintenance régulière de votre système informatique </w:t>
            </w:r>
            <w:r>
              <w:rPr>
                <w:b/>
                <w:color w:val="1F4E79" w:themeColor="accent1" w:themeShade="80"/>
                <w:sz w:val="21"/>
                <w:szCs w:val="21"/>
              </w:rPr>
              <w:t>(</w:t>
            </w:r>
            <w:r>
              <w:rPr>
                <w:b/>
                <w:color w:val="1F4E79" w:themeColor="accent1" w:themeShade="80"/>
                <w:sz w:val="21"/>
                <w:szCs w:val="21"/>
                <w:u w:val="single"/>
              </w:rPr>
              <w:t>10 points</w:t>
            </w:r>
            <w:r>
              <w:rPr>
                <w:b/>
                <w:color w:val="1F4E79" w:themeColor="accent1" w:themeShade="80"/>
                <w:sz w:val="21"/>
                <w:szCs w:val="21"/>
              </w:rPr>
              <w:t>)</w:t>
            </w:r>
          </w:p>
        </w:tc>
      </w:tr>
      <w:tr w:rsidR="004A04E4" w:rsidRPr="00687A69" w14:paraId="212A48F5"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730A8F0" w14:textId="77777777" w:rsidR="004A04E4" w:rsidRPr="00643648" w:rsidRDefault="004A04E4" w:rsidP="008A4ECB">
            <w:pPr>
              <w:spacing w:before="60" w:after="60" w:line="240" w:lineRule="auto"/>
              <w:contextualSpacing/>
              <w:rPr>
                <w:rFonts w:eastAsia="Times New Roman" w:cs="Arial"/>
                <w:sz w:val="21"/>
                <w:szCs w:val="21"/>
                <w:lang w:val="fr-ML" w:eastAsia="en-GB"/>
              </w:rPr>
            </w:pPr>
          </w:p>
          <w:p w14:paraId="30CDE88A" w14:textId="77777777" w:rsidR="00B644CD" w:rsidRPr="00643648" w:rsidRDefault="00B644CD" w:rsidP="008A4ECB">
            <w:pPr>
              <w:spacing w:before="60" w:after="60" w:line="240" w:lineRule="auto"/>
              <w:contextualSpacing/>
              <w:rPr>
                <w:rFonts w:eastAsia="Times New Roman" w:cs="Arial"/>
                <w:sz w:val="21"/>
                <w:szCs w:val="21"/>
                <w:lang w:val="fr-ML" w:eastAsia="en-GB"/>
              </w:rPr>
            </w:pPr>
          </w:p>
          <w:p w14:paraId="7D9A3D30" w14:textId="0E443420" w:rsidR="00B644CD" w:rsidRPr="00643648" w:rsidRDefault="00B644CD" w:rsidP="008A4ECB">
            <w:pPr>
              <w:spacing w:before="60" w:after="60" w:line="240" w:lineRule="auto"/>
              <w:contextualSpacing/>
              <w:rPr>
                <w:rFonts w:eastAsia="Times New Roman" w:cs="Arial"/>
                <w:sz w:val="21"/>
                <w:szCs w:val="21"/>
                <w:lang w:val="fr-ML" w:eastAsia="en-GB"/>
              </w:rPr>
            </w:pPr>
          </w:p>
        </w:tc>
      </w:tr>
      <w:tr w:rsidR="00DF6A01" w:rsidRPr="00687A69" w14:paraId="398A4DDA"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DEEAF6" w:themeFill="accent1" w:themeFillTint="33"/>
            <w:tcMar>
              <w:top w:w="0" w:type="dxa"/>
              <w:left w:w="108" w:type="dxa"/>
              <w:bottom w:w="0" w:type="dxa"/>
              <w:right w:w="108" w:type="dxa"/>
            </w:tcMar>
            <w:vAlign w:val="center"/>
          </w:tcPr>
          <w:p w14:paraId="5A20DB4F" w14:textId="26D3A533" w:rsidR="00DF6A01" w:rsidRPr="00687A69" w:rsidRDefault="00DF6A01" w:rsidP="00AC6DE7">
            <w:pPr>
              <w:spacing w:before="60" w:after="60" w:line="240" w:lineRule="auto"/>
              <w:contextualSpacing/>
              <w:rPr>
                <w:rFonts w:eastAsia="Times New Roman" w:cs="Arial"/>
                <w:i/>
                <w:color w:val="FF0000"/>
                <w:sz w:val="21"/>
                <w:szCs w:val="21"/>
              </w:rPr>
            </w:pPr>
            <w:r>
              <w:rPr>
                <w:b/>
                <w:sz w:val="21"/>
                <w:szCs w:val="21"/>
              </w:rPr>
              <w:t>5. Service clientèle</w:t>
            </w:r>
            <w:r>
              <w:rPr>
                <w:sz w:val="21"/>
                <w:szCs w:val="21"/>
              </w:rPr>
              <w:t xml:space="preserve"> </w:t>
            </w:r>
            <w:r>
              <w:rPr>
                <w:b/>
                <w:color w:val="1F4E79" w:themeColor="accent1" w:themeShade="80"/>
                <w:sz w:val="21"/>
                <w:szCs w:val="21"/>
              </w:rPr>
              <w:t>(</w:t>
            </w:r>
            <w:r>
              <w:rPr>
                <w:b/>
                <w:color w:val="1F4E79" w:themeColor="accent1" w:themeShade="80"/>
                <w:sz w:val="21"/>
                <w:szCs w:val="21"/>
                <w:u w:val="single"/>
              </w:rPr>
              <w:t>80 points au total</w:t>
            </w:r>
            <w:r>
              <w:rPr>
                <w:b/>
                <w:color w:val="1F4E79" w:themeColor="accent1" w:themeShade="80"/>
                <w:sz w:val="21"/>
                <w:szCs w:val="21"/>
              </w:rPr>
              <w:t xml:space="preserve">, </w:t>
            </w:r>
            <w:r>
              <w:rPr>
                <w:i/>
                <w:color w:val="1F4E79" w:themeColor="accent1" w:themeShade="80"/>
                <w:sz w:val="21"/>
                <w:szCs w:val="21"/>
              </w:rPr>
              <w:t>barème détaillé ci-dessous</w:t>
            </w:r>
            <w:r>
              <w:rPr>
                <w:b/>
                <w:color w:val="1F4E79" w:themeColor="accent1" w:themeShade="80"/>
                <w:sz w:val="21"/>
                <w:szCs w:val="21"/>
              </w:rPr>
              <w:t xml:space="preserve">) </w:t>
            </w:r>
            <w:r w:rsidR="00426C1C" w:rsidRPr="00426C1C">
              <w:rPr>
                <w:i/>
                <w:color w:val="1F4E79" w:themeColor="accent1" w:themeShade="80"/>
                <w:sz w:val="21"/>
                <w:szCs w:val="21"/>
              </w:rPr>
              <w:t>Une note inférieure à 60 points du total de 80 points disponibles sous cette rubrique entraîne un rejet de l’offre</w:t>
            </w:r>
          </w:p>
        </w:tc>
      </w:tr>
      <w:tr w:rsidR="00DF6A01" w:rsidRPr="00687A69" w14:paraId="74C85357"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9D96A1B" w14:textId="4FCFD6B8" w:rsidR="00DF6A01" w:rsidRPr="00687A69" w:rsidRDefault="00DF6A01" w:rsidP="008A4ECB">
            <w:pPr>
              <w:spacing w:before="60" w:after="60" w:line="240" w:lineRule="auto"/>
              <w:contextualSpacing/>
              <w:rPr>
                <w:rFonts w:eastAsia="Times New Roman" w:cs="Arial"/>
                <w:b/>
                <w:sz w:val="21"/>
                <w:szCs w:val="21"/>
              </w:rPr>
            </w:pPr>
            <w:r>
              <w:rPr>
                <w:b/>
                <w:sz w:val="21"/>
                <w:szCs w:val="21"/>
              </w:rPr>
              <w:lastRenderedPageBreak/>
              <w:t>5a)</w:t>
            </w:r>
            <w:r>
              <w:rPr>
                <w:sz w:val="21"/>
                <w:szCs w:val="21"/>
              </w:rPr>
              <w:t xml:space="preserve"> Décrire la capacité à apporter une aide aux individus pour répondre aux réclamations techniques et autres demandes, ainsi que des fichiers de réclamation, par exemple via une </w:t>
            </w:r>
            <w:r>
              <w:rPr>
                <w:b/>
                <w:sz w:val="21"/>
                <w:szCs w:val="21"/>
              </w:rPr>
              <w:t xml:space="preserve">ligne d’assistance téléphonique gratuite, ou une alternative adéquate en fonction des préférences de communication de la population, </w:t>
            </w:r>
            <w:r>
              <w:rPr>
                <w:sz w:val="21"/>
                <w:szCs w:val="21"/>
              </w:rPr>
              <w:t xml:space="preserve">pour les bénéficiaires individuels (préciser les langues disponibles et si la ligne d’assistance ou l’alternative adéquate sera disponible 24 h/24, 7 j/7). </w:t>
            </w:r>
            <w:r>
              <w:rPr>
                <w:b/>
                <w:color w:val="1F4E79" w:themeColor="accent1" w:themeShade="80"/>
                <w:sz w:val="21"/>
                <w:szCs w:val="21"/>
              </w:rPr>
              <w:t>(</w:t>
            </w:r>
            <w:r>
              <w:rPr>
                <w:b/>
                <w:color w:val="1F4E79" w:themeColor="accent1" w:themeShade="80"/>
                <w:sz w:val="21"/>
                <w:szCs w:val="21"/>
                <w:u w:val="single"/>
              </w:rPr>
              <w:t>20 points</w:t>
            </w:r>
            <w:r>
              <w:rPr>
                <w:b/>
                <w:color w:val="1F4E79" w:themeColor="accent1" w:themeShade="80"/>
                <w:sz w:val="21"/>
                <w:szCs w:val="21"/>
              </w:rPr>
              <w:t>)</w:t>
            </w:r>
          </w:p>
        </w:tc>
      </w:tr>
      <w:tr w:rsidR="00DF6A01" w:rsidRPr="00687A69" w14:paraId="671CEAC3"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44322006" w14:textId="77777777" w:rsidR="00DF6A01" w:rsidRPr="00687A69" w:rsidRDefault="00DF6A01" w:rsidP="008A4ECB">
            <w:pPr>
              <w:spacing w:before="60" w:after="60" w:line="240" w:lineRule="auto"/>
              <w:contextualSpacing/>
              <w:rPr>
                <w:rFonts w:eastAsia="Times New Roman" w:cs="Arial"/>
                <w:b/>
                <w:sz w:val="21"/>
                <w:szCs w:val="21"/>
                <w:lang w:val="en" w:eastAsia="en-GB"/>
              </w:rPr>
            </w:pPr>
          </w:p>
          <w:p w14:paraId="1D4F2017" w14:textId="77777777" w:rsidR="006C4707" w:rsidRPr="00687A69" w:rsidRDefault="006C4707" w:rsidP="008A4ECB">
            <w:pPr>
              <w:spacing w:before="60" w:after="60" w:line="240" w:lineRule="auto"/>
              <w:contextualSpacing/>
              <w:rPr>
                <w:rFonts w:eastAsia="Times New Roman" w:cs="Arial"/>
                <w:b/>
                <w:sz w:val="21"/>
                <w:szCs w:val="21"/>
                <w:lang w:val="en" w:eastAsia="en-GB"/>
              </w:rPr>
            </w:pPr>
          </w:p>
          <w:p w14:paraId="520363EA" w14:textId="77777777" w:rsidR="00DF6A01" w:rsidRPr="00687A69" w:rsidRDefault="00DF6A01" w:rsidP="008A4ECB">
            <w:pPr>
              <w:spacing w:before="60" w:after="60" w:line="240" w:lineRule="auto"/>
              <w:contextualSpacing/>
              <w:rPr>
                <w:rFonts w:eastAsia="Times New Roman" w:cs="Arial"/>
                <w:b/>
                <w:sz w:val="21"/>
                <w:szCs w:val="21"/>
                <w:lang w:val="en" w:eastAsia="en-GB"/>
              </w:rPr>
            </w:pPr>
          </w:p>
        </w:tc>
      </w:tr>
      <w:tr w:rsidR="00DF6A01" w:rsidRPr="00687A69" w14:paraId="1EE14E3E" w14:textId="77777777" w:rsidTr="00DB08F0">
        <w:trPr>
          <w:trHeight w:val="1603"/>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1A7DAFA2" w14:textId="04F06E5E" w:rsidR="00796627" w:rsidRDefault="00DF6A01" w:rsidP="008A4ECB">
            <w:pPr>
              <w:spacing w:after="0" w:line="240" w:lineRule="auto"/>
              <w:jc w:val="both"/>
              <w:rPr>
                <w:rFonts w:eastAsia="Times New Roman" w:cs="Arial"/>
                <w:color w:val="000000"/>
                <w:sz w:val="21"/>
                <w:szCs w:val="21"/>
              </w:rPr>
            </w:pPr>
            <w:r>
              <w:rPr>
                <w:b/>
                <w:sz w:val="21"/>
                <w:szCs w:val="21"/>
              </w:rPr>
              <w:t>5b)</w:t>
            </w:r>
            <w:r>
              <w:rPr>
                <w:sz w:val="21"/>
                <w:szCs w:val="21"/>
              </w:rPr>
              <w:t xml:space="preserve"> Fournir des informations sur les </w:t>
            </w:r>
            <w:r>
              <w:rPr>
                <w:b/>
                <w:sz w:val="21"/>
                <w:szCs w:val="21"/>
              </w:rPr>
              <w:t>produits de formation ou les documents d’orientation</w:t>
            </w:r>
            <w:r>
              <w:rPr>
                <w:sz w:val="21"/>
                <w:szCs w:val="21"/>
              </w:rPr>
              <w:t xml:space="preserve"> </w:t>
            </w:r>
            <w:r>
              <w:rPr>
                <w:b/>
                <w:color w:val="1F4E79" w:themeColor="accent1" w:themeShade="80"/>
                <w:sz w:val="21"/>
                <w:szCs w:val="21"/>
              </w:rPr>
              <w:t>(</w:t>
            </w:r>
            <w:r>
              <w:rPr>
                <w:b/>
                <w:color w:val="1F4E79" w:themeColor="accent1" w:themeShade="80"/>
                <w:sz w:val="21"/>
                <w:szCs w:val="21"/>
                <w:u w:val="single"/>
              </w:rPr>
              <w:t>20 points</w:t>
            </w:r>
            <w:r>
              <w:rPr>
                <w:b/>
                <w:color w:val="1F4E79" w:themeColor="accent1" w:themeShade="80"/>
                <w:sz w:val="21"/>
                <w:szCs w:val="21"/>
              </w:rPr>
              <w:t xml:space="preserve">) </w:t>
            </w:r>
            <w:r>
              <w:rPr>
                <w:color w:val="000000"/>
                <w:sz w:val="21"/>
                <w:szCs w:val="21"/>
              </w:rPr>
              <w:t>qui permettront aux bénéficiaires d’utiliser correctement le service dans les principales langues parlées par les bénéficiaires (cf. Annexe A), y compris, sans s</w:t>
            </w:r>
            <w:r w:rsidR="00694926">
              <w:rPr>
                <w:color w:val="000000"/>
                <w:sz w:val="21"/>
                <w:szCs w:val="21"/>
              </w:rPr>
              <w:t>’</w:t>
            </w:r>
            <w:r>
              <w:rPr>
                <w:color w:val="000000"/>
                <w:sz w:val="21"/>
                <w:szCs w:val="21"/>
              </w:rPr>
              <w:t xml:space="preserve">y limiter : </w:t>
            </w:r>
          </w:p>
          <w:p w14:paraId="419FBB04" w14:textId="4475672E" w:rsidR="00796627" w:rsidRPr="001014E7" w:rsidRDefault="00AC3396" w:rsidP="008A4ECB">
            <w:pPr>
              <w:pStyle w:val="Paragraphedeliste"/>
              <w:numPr>
                <w:ilvl w:val="0"/>
                <w:numId w:val="5"/>
              </w:numPr>
              <w:spacing w:before="0" w:beforeAutospacing="0" w:after="0"/>
              <w:ind w:left="733"/>
              <w:jc w:val="both"/>
              <w:rPr>
                <w:rFonts w:asciiTheme="minorHAnsi" w:hAnsiTheme="minorHAnsi" w:cs="Arial"/>
                <w:color w:val="000000"/>
                <w:sz w:val="21"/>
                <w:szCs w:val="21"/>
              </w:rPr>
            </w:pPr>
            <w:r>
              <w:rPr>
                <w:rFonts w:asciiTheme="minorHAnsi" w:hAnsiTheme="minorHAnsi"/>
                <w:color w:val="000000"/>
                <w:sz w:val="21"/>
                <w:szCs w:val="21"/>
              </w:rPr>
              <w:t>la méthode et le lieu d’inscription, de réception des moyens de paiement et de réalisation des retraits</w:t>
            </w:r>
            <w:r w:rsidR="00694926">
              <w:rPr>
                <w:rFonts w:asciiTheme="minorHAnsi" w:hAnsiTheme="minorHAnsi"/>
                <w:color w:val="000000"/>
                <w:sz w:val="21"/>
                <w:szCs w:val="21"/>
              </w:rPr>
              <w:t> </w:t>
            </w:r>
            <w:r>
              <w:rPr>
                <w:rFonts w:asciiTheme="minorHAnsi" w:hAnsiTheme="minorHAnsi"/>
                <w:color w:val="000000"/>
                <w:sz w:val="21"/>
                <w:szCs w:val="21"/>
              </w:rPr>
              <w:t xml:space="preserve">; </w:t>
            </w:r>
          </w:p>
          <w:p w14:paraId="308EFBA8" w14:textId="25591C4B" w:rsidR="00796627" w:rsidRPr="001014E7" w:rsidRDefault="00AC3396" w:rsidP="008A4ECB">
            <w:pPr>
              <w:pStyle w:val="Paragraphedeliste"/>
              <w:numPr>
                <w:ilvl w:val="0"/>
                <w:numId w:val="5"/>
              </w:numPr>
              <w:spacing w:before="0" w:beforeAutospacing="0" w:after="0"/>
              <w:ind w:left="733"/>
              <w:jc w:val="both"/>
              <w:rPr>
                <w:rFonts w:asciiTheme="minorHAnsi" w:hAnsiTheme="minorHAnsi" w:cs="Arial"/>
                <w:color w:val="000000"/>
                <w:sz w:val="21"/>
                <w:szCs w:val="21"/>
              </w:rPr>
            </w:pPr>
            <w:r>
              <w:rPr>
                <w:rFonts w:asciiTheme="minorHAnsi" w:hAnsiTheme="minorHAnsi"/>
                <w:color w:val="000000"/>
                <w:sz w:val="21"/>
                <w:szCs w:val="21"/>
              </w:rPr>
              <w:t>la méthode d’utilisation des moyens de paiement, des codes d’identification individuelle/code PIN</w:t>
            </w:r>
            <w:r w:rsidR="00694926">
              <w:rPr>
                <w:rFonts w:asciiTheme="minorHAnsi" w:hAnsiTheme="minorHAnsi"/>
                <w:color w:val="000000"/>
                <w:sz w:val="21"/>
                <w:szCs w:val="21"/>
              </w:rPr>
              <w:t> </w:t>
            </w:r>
            <w:r>
              <w:rPr>
                <w:rFonts w:asciiTheme="minorHAnsi" w:hAnsiTheme="minorHAnsi"/>
                <w:color w:val="000000"/>
                <w:sz w:val="21"/>
                <w:szCs w:val="21"/>
              </w:rPr>
              <w:t xml:space="preserve">; </w:t>
            </w:r>
          </w:p>
          <w:p w14:paraId="7E564AB5" w14:textId="04CC8C77" w:rsidR="00796627" w:rsidRPr="001014E7" w:rsidRDefault="00796627" w:rsidP="008A4ECB">
            <w:pPr>
              <w:pStyle w:val="Paragraphedeliste"/>
              <w:numPr>
                <w:ilvl w:val="0"/>
                <w:numId w:val="5"/>
              </w:numPr>
              <w:spacing w:before="0" w:beforeAutospacing="0" w:after="0"/>
              <w:ind w:left="733"/>
              <w:jc w:val="both"/>
              <w:rPr>
                <w:rFonts w:asciiTheme="minorHAnsi" w:hAnsiTheme="minorHAnsi" w:cs="Arial"/>
                <w:color w:val="000000"/>
                <w:sz w:val="21"/>
                <w:szCs w:val="21"/>
              </w:rPr>
            </w:pPr>
            <w:r>
              <w:rPr>
                <w:rFonts w:asciiTheme="minorHAnsi" w:hAnsiTheme="minorHAnsi"/>
                <w:color w:val="000000"/>
                <w:sz w:val="21"/>
                <w:szCs w:val="21"/>
              </w:rPr>
              <w:t>les renseignements et documents d’identité requis afin d’effectuer un retrait</w:t>
            </w:r>
            <w:r w:rsidR="00694926">
              <w:rPr>
                <w:rFonts w:asciiTheme="minorHAnsi" w:hAnsiTheme="minorHAnsi"/>
                <w:color w:val="000000"/>
                <w:sz w:val="21"/>
                <w:szCs w:val="21"/>
              </w:rPr>
              <w:t> </w:t>
            </w:r>
            <w:r>
              <w:rPr>
                <w:rFonts w:asciiTheme="minorHAnsi" w:hAnsiTheme="minorHAnsi"/>
                <w:color w:val="000000"/>
                <w:sz w:val="21"/>
                <w:szCs w:val="21"/>
              </w:rPr>
              <w:t xml:space="preserve">; </w:t>
            </w:r>
          </w:p>
          <w:p w14:paraId="1C8A568D" w14:textId="37FB15B9" w:rsidR="00633A42" w:rsidRPr="001014E7" w:rsidRDefault="00AC3396" w:rsidP="008A4ECB">
            <w:pPr>
              <w:pStyle w:val="Paragraphedeliste"/>
              <w:numPr>
                <w:ilvl w:val="0"/>
                <w:numId w:val="5"/>
              </w:numPr>
              <w:spacing w:before="0" w:beforeAutospacing="0" w:after="0" w:afterAutospacing="0"/>
              <w:ind w:left="733"/>
              <w:jc w:val="both"/>
              <w:rPr>
                <w:rFonts w:asciiTheme="minorHAnsi" w:hAnsiTheme="minorHAnsi" w:cs="Arial"/>
                <w:color w:val="000000"/>
                <w:sz w:val="21"/>
                <w:szCs w:val="21"/>
              </w:rPr>
            </w:pPr>
            <w:r>
              <w:rPr>
                <w:rFonts w:asciiTheme="minorHAnsi" w:hAnsiTheme="minorHAnsi"/>
                <w:color w:val="000000"/>
                <w:sz w:val="21"/>
                <w:szCs w:val="21"/>
              </w:rPr>
              <w:t>si applicable, comment vérifier la balance des soldes de leur sous-compte individuel</w:t>
            </w:r>
            <w:r w:rsidR="00694926">
              <w:rPr>
                <w:rFonts w:asciiTheme="minorHAnsi" w:hAnsiTheme="minorHAnsi"/>
                <w:color w:val="000000"/>
                <w:sz w:val="21"/>
                <w:szCs w:val="21"/>
              </w:rPr>
              <w:t> </w:t>
            </w:r>
            <w:r>
              <w:rPr>
                <w:rFonts w:asciiTheme="minorHAnsi" w:hAnsiTheme="minorHAnsi"/>
                <w:color w:val="000000"/>
                <w:sz w:val="21"/>
                <w:szCs w:val="21"/>
              </w:rPr>
              <w:t xml:space="preserve">; </w:t>
            </w:r>
          </w:p>
          <w:p w14:paraId="4B60CEC4" w14:textId="79852195" w:rsidR="00DF6A01" w:rsidRPr="001014E7" w:rsidRDefault="00633A42" w:rsidP="00633A42">
            <w:pPr>
              <w:pStyle w:val="Paragraphedeliste"/>
              <w:numPr>
                <w:ilvl w:val="0"/>
                <w:numId w:val="5"/>
              </w:numPr>
              <w:spacing w:before="0" w:beforeAutospacing="0" w:after="0" w:afterAutospacing="0"/>
              <w:ind w:left="733"/>
              <w:jc w:val="both"/>
              <w:rPr>
                <w:rFonts w:asciiTheme="minorHAnsi" w:hAnsiTheme="minorHAnsi" w:cs="Arial"/>
                <w:color w:val="000000"/>
                <w:sz w:val="21"/>
                <w:szCs w:val="21"/>
              </w:rPr>
            </w:pPr>
            <w:r>
              <w:rPr>
                <w:rFonts w:asciiTheme="minorHAnsi" w:hAnsiTheme="minorHAnsi"/>
                <w:color w:val="000000"/>
                <w:sz w:val="21"/>
                <w:szCs w:val="21"/>
              </w:rPr>
              <w:t>comment déclarer une carte perdue ou volée, etc., ou tout autre problème relatif à l’utilisation du service</w:t>
            </w:r>
            <w:r w:rsidR="00694926">
              <w:rPr>
                <w:rFonts w:asciiTheme="minorHAnsi" w:hAnsiTheme="minorHAnsi"/>
                <w:color w:val="000000"/>
                <w:sz w:val="21"/>
                <w:szCs w:val="21"/>
              </w:rPr>
              <w:t> </w:t>
            </w:r>
            <w:r>
              <w:rPr>
                <w:rFonts w:asciiTheme="minorHAnsi" w:hAnsiTheme="minorHAnsi"/>
                <w:color w:val="000000"/>
                <w:sz w:val="21"/>
                <w:szCs w:val="21"/>
              </w:rPr>
              <w:t xml:space="preserve">; </w:t>
            </w:r>
          </w:p>
          <w:p w14:paraId="5B67241D" w14:textId="2334FEBD" w:rsidR="001014E7" w:rsidRPr="00796627" w:rsidRDefault="001014E7" w:rsidP="00633A42">
            <w:pPr>
              <w:pStyle w:val="Paragraphedeliste"/>
              <w:numPr>
                <w:ilvl w:val="0"/>
                <w:numId w:val="5"/>
              </w:numPr>
              <w:spacing w:before="0" w:beforeAutospacing="0" w:after="0" w:afterAutospacing="0"/>
              <w:ind w:left="733"/>
              <w:jc w:val="both"/>
              <w:rPr>
                <w:rFonts w:cs="Arial"/>
                <w:color w:val="000000"/>
                <w:sz w:val="21"/>
                <w:szCs w:val="21"/>
              </w:rPr>
            </w:pPr>
            <w:r>
              <w:rPr>
                <w:rFonts w:asciiTheme="minorHAnsi" w:hAnsiTheme="minorHAnsi"/>
                <w:color w:val="000000"/>
                <w:sz w:val="21"/>
                <w:szCs w:val="21"/>
              </w:rPr>
              <w:t>le cas échéant, la méthode d’utilisation du service sur des appareils mobiles et, si nécessaire à l’utilisation de base de l’appareil, les mesures spécifiques prises pour inclure les personnes en situation de handicap.</w:t>
            </w:r>
          </w:p>
        </w:tc>
      </w:tr>
      <w:tr w:rsidR="00F556D5" w:rsidRPr="00687A69" w14:paraId="50B5B971"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2ABA61C" w14:textId="77777777" w:rsidR="00F556D5" w:rsidRPr="00643648" w:rsidRDefault="00F556D5" w:rsidP="008A4ECB">
            <w:pPr>
              <w:spacing w:before="60" w:after="60" w:line="240" w:lineRule="auto"/>
              <w:contextualSpacing/>
              <w:rPr>
                <w:rFonts w:eastAsia="Times New Roman" w:cs="Arial"/>
                <w:sz w:val="21"/>
                <w:szCs w:val="21"/>
                <w:lang w:val="fr-ML" w:eastAsia="en-GB"/>
              </w:rPr>
            </w:pPr>
          </w:p>
          <w:p w14:paraId="7E10451A" w14:textId="77777777" w:rsidR="00F556D5" w:rsidRPr="00643648" w:rsidRDefault="00F556D5" w:rsidP="008A4ECB">
            <w:pPr>
              <w:spacing w:before="60" w:after="60" w:line="240" w:lineRule="auto"/>
              <w:contextualSpacing/>
              <w:rPr>
                <w:rFonts w:eastAsia="Times New Roman" w:cs="Arial"/>
                <w:sz w:val="21"/>
                <w:szCs w:val="21"/>
                <w:lang w:val="fr-ML" w:eastAsia="en-GB"/>
              </w:rPr>
            </w:pPr>
          </w:p>
          <w:p w14:paraId="59FCC245" w14:textId="77777777" w:rsidR="00F556D5" w:rsidRPr="00643648" w:rsidRDefault="00F556D5" w:rsidP="008A4ECB">
            <w:pPr>
              <w:spacing w:before="60" w:after="60" w:line="240" w:lineRule="auto"/>
              <w:contextualSpacing/>
              <w:rPr>
                <w:rFonts w:eastAsia="Times New Roman" w:cs="Arial"/>
                <w:sz w:val="21"/>
                <w:szCs w:val="21"/>
                <w:lang w:val="fr-ML" w:eastAsia="en-GB"/>
              </w:rPr>
            </w:pPr>
          </w:p>
        </w:tc>
      </w:tr>
      <w:tr w:rsidR="00F556D5" w:rsidRPr="00687A69" w14:paraId="144B9979" w14:textId="77777777" w:rsidTr="00F556D5">
        <w:trPr>
          <w:trHeight w:val="199"/>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701943D1" w14:textId="79E5507B" w:rsidR="00F556D5" w:rsidRPr="00F556D5" w:rsidRDefault="00F556D5" w:rsidP="004D5CB4">
            <w:pPr>
              <w:spacing w:after="0" w:line="240" w:lineRule="auto"/>
              <w:jc w:val="both"/>
              <w:rPr>
                <w:rFonts w:eastAsia="Times New Roman" w:cs="Arial"/>
                <w:sz w:val="21"/>
                <w:szCs w:val="21"/>
              </w:rPr>
            </w:pPr>
            <w:r>
              <w:rPr>
                <w:b/>
                <w:sz w:val="21"/>
                <w:szCs w:val="21"/>
              </w:rPr>
              <w:t>5c)</w:t>
            </w:r>
            <w:r>
              <w:rPr>
                <w:sz w:val="21"/>
                <w:szCs w:val="21"/>
              </w:rPr>
              <w:t xml:space="preserve"> Préciser si le prestataire de services financiers pourra s’assurer que son personnel/ses agents participent à une </w:t>
            </w:r>
            <w:r>
              <w:rPr>
                <w:b/>
                <w:bCs/>
                <w:sz w:val="21"/>
                <w:szCs w:val="21"/>
              </w:rPr>
              <w:t>séance de sensibilisation</w:t>
            </w:r>
            <w:r>
              <w:rPr>
                <w:sz w:val="21"/>
                <w:szCs w:val="21"/>
              </w:rPr>
              <w:t xml:space="preserve"> organisée par le HCR ou ses partenaires sur la fourniture de services aux populations vulnérables, et proposer une formation adaptée à son personnel/ses agents sur la prévention de la fraude et la prévention de l’exploitation et des sévices sexuels. </w:t>
            </w:r>
            <w:r>
              <w:rPr>
                <w:b/>
                <w:color w:val="1F4E79" w:themeColor="accent1" w:themeShade="80"/>
                <w:sz w:val="21"/>
                <w:szCs w:val="21"/>
              </w:rPr>
              <w:t>(</w:t>
            </w:r>
            <w:r>
              <w:rPr>
                <w:b/>
                <w:color w:val="1F4E79" w:themeColor="accent1" w:themeShade="80"/>
                <w:sz w:val="21"/>
                <w:szCs w:val="21"/>
                <w:u w:val="single"/>
              </w:rPr>
              <w:t>20 points</w:t>
            </w:r>
            <w:r>
              <w:rPr>
                <w:b/>
                <w:color w:val="1F4E79" w:themeColor="accent1" w:themeShade="80"/>
                <w:sz w:val="21"/>
                <w:szCs w:val="21"/>
              </w:rPr>
              <w:t>)</w:t>
            </w:r>
            <w:r>
              <w:rPr>
                <w:color w:val="C00000"/>
                <w:sz w:val="21"/>
                <w:szCs w:val="21"/>
              </w:rPr>
              <w:t xml:space="preserve">  </w:t>
            </w:r>
          </w:p>
        </w:tc>
      </w:tr>
      <w:tr w:rsidR="00DF6A01" w:rsidRPr="00687A69" w14:paraId="4AFB80C4"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48374F8" w14:textId="77777777" w:rsidR="00DF6A01" w:rsidRPr="00687A69" w:rsidRDefault="00DF6A01" w:rsidP="008A4ECB">
            <w:pPr>
              <w:spacing w:before="60" w:after="60" w:line="240" w:lineRule="auto"/>
              <w:contextualSpacing/>
              <w:rPr>
                <w:rFonts w:eastAsia="Times New Roman" w:cs="Arial"/>
                <w:sz w:val="21"/>
                <w:szCs w:val="21"/>
                <w:lang w:val="en" w:eastAsia="en-GB"/>
              </w:rPr>
            </w:pPr>
          </w:p>
          <w:p w14:paraId="0AD9EF74" w14:textId="77777777" w:rsidR="00DF6A01" w:rsidRPr="00687A69" w:rsidRDefault="00DF6A01" w:rsidP="008A4ECB">
            <w:pPr>
              <w:spacing w:before="60" w:after="60" w:line="240" w:lineRule="auto"/>
              <w:contextualSpacing/>
              <w:rPr>
                <w:rFonts w:eastAsia="Times New Roman" w:cs="Arial"/>
                <w:sz w:val="21"/>
                <w:szCs w:val="21"/>
                <w:lang w:val="en" w:eastAsia="en-GB"/>
              </w:rPr>
            </w:pPr>
          </w:p>
          <w:p w14:paraId="022B1CC6" w14:textId="77777777" w:rsidR="00AC3396" w:rsidRPr="00687A69" w:rsidRDefault="00AC3396" w:rsidP="008A4ECB">
            <w:pPr>
              <w:spacing w:before="60" w:after="60" w:line="240" w:lineRule="auto"/>
              <w:contextualSpacing/>
              <w:rPr>
                <w:rFonts w:eastAsia="Times New Roman" w:cs="Arial"/>
                <w:sz w:val="21"/>
                <w:szCs w:val="21"/>
                <w:lang w:val="en" w:eastAsia="en-GB"/>
              </w:rPr>
            </w:pPr>
          </w:p>
        </w:tc>
      </w:tr>
      <w:tr w:rsidR="00DF6A01" w:rsidRPr="00687A69" w14:paraId="4ACA240F" w14:textId="77777777" w:rsidTr="00DB08F0">
        <w:trPr>
          <w:trHeight w:val="430"/>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2D87B8D2" w14:textId="5B1558B3" w:rsidR="00DF6A01" w:rsidRPr="00687A69" w:rsidRDefault="00F556D5" w:rsidP="008A4ECB">
            <w:pPr>
              <w:spacing w:after="0"/>
              <w:rPr>
                <w:sz w:val="21"/>
                <w:szCs w:val="21"/>
              </w:rPr>
            </w:pPr>
            <w:r>
              <w:rPr>
                <w:b/>
                <w:sz w:val="21"/>
                <w:szCs w:val="21"/>
              </w:rPr>
              <w:t>5d)</w:t>
            </w:r>
            <w:r>
              <w:rPr>
                <w:sz w:val="21"/>
                <w:szCs w:val="21"/>
              </w:rPr>
              <w:t xml:space="preserve"> Préciser si le prestataire de services financiers peut fournir </w:t>
            </w:r>
            <w:r>
              <w:rPr>
                <w:b/>
                <w:sz w:val="21"/>
                <w:szCs w:val="21"/>
              </w:rPr>
              <w:t>un ou des points focaux dédiés au projet</w:t>
            </w:r>
            <w:r>
              <w:rPr>
                <w:sz w:val="21"/>
                <w:szCs w:val="21"/>
              </w:rPr>
              <w:t xml:space="preserve">, au niveau national et dans chaque zone géographique d’intérêt pour le HCR, comme spécifié à l’Annexe A. </w:t>
            </w:r>
            <w:r>
              <w:rPr>
                <w:b/>
                <w:color w:val="1F4E79" w:themeColor="accent1" w:themeShade="80"/>
                <w:sz w:val="21"/>
                <w:szCs w:val="21"/>
              </w:rPr>
              <w:t>(</w:t>
            </w:r>
            <w:r>
              <w:rPr>
                <w:b/>
                <w:color w:val="1F4E79" w:themeColor="accent1" w:themeShade="80"/>
                <w:sz w:val="21"/>
                <w:szCs w:val="21"/>
                <w:u w:val="single"/>
              </w:rPr>
              <w:t>10 points</w:t>
            </w:r>
            <w:r>
              <w:rPr>
                <w:b/>
                <w:color w:val="1F4E79" w:themeColor="accent1" w:themeShade="80"/>
                <w:sz w:val="21"/>
                <w:szCs w:val="21"/>
              </w:rPr>
              <w:t xml:space="preserve">) </w:t>
            </w:r>
          </w:p>
        </w:tc>
      </w:tr>
      <w:tr w:rsidR="00DF6A01" w:rsidRPr="00687A69" w14:paraId="771775D1"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7D63023" w14:textId="77777777" w:rsidR="00DF6A01" w:rsidRPr="00643648" w:rsidRDefault="00DF6A01" w:rsidP="008A4ECB">
            <w:pPr>
              <w:spacing w:before="60" w:after="60" w:line="240" w:lineRule="auto"/>
              <w:contextualSpacing/>
              <w:rPr>
                <w:rFonts w:eastAsia="Times New Roman" w:cs="Arial"/>
                <w:sz w:val="21"/>
                <w:szCs w:val="21"/>
                <w:lang w:val="fr-ML" w:eastAsia="en-GB"/>
              </w:rPr>
            </w:pPr>
          </w:p>
          <w:p w14:paraId="7F8ED75C" w14:textId="77777777" w:rsidR="00DF6A01" w:rsidRPr="00643648" w:rsidRDefault="00DF6A01" w:rsidP="008A4ECB">
            <w:pPr>
              <w:spacing w:before="60" w:after="60" w:line="240" w:lineRule="auto"/>
              <w:contextualSpacing/>
              <w:rPr>
                <w:rFonts w:eastAsia="Times New Roman" w:cs="Arial"/>
                <w:sz w:val="21"/>
                <w:szCs w:val="21"/>
                <w:lang w:val="fr-ML" w:eastAsia="en-GB"/>
              </w:rPr>
            </w:pPr>
          </w:p>
          <w:p w14:paraId="7F017CA3" w14:textId="77777777" w:rsidR="006C4707" w:rsidRPr="00643648" w:rsidRDefault="006C4707" w:rsidP="008A4ECB">
            <w:pPr>
              <w:spacing w:before="60" w:after="60" w:line="240" w:lineRule="auto"/>
              <w:contextualSpacing/>
              <w:rPr>
                <w:rFonts w:eastAsia="Times New Roman" w:cs="Arial"/>
                <w:sz w:val="21"/>
                <w:szCs w:val="21"/>
                <w:lang w:val="fr-ML" w:eastAsia="en-GB"/>
              </w:rPr>
            </w:pPr>
          </w:p>
        </w:tc>
      </w:tr>
      <w:tr w:rsidR="00B013F8" w:rsidRPr="00687A69" w14:paraId="30135D21"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3A322071" w14:textId="68AB13CA" w:rsidR="00B013F8" w:rsidRPr="00B644CD" w:rsidRDefault="00F556D5" w:rsidP="00AA2C5A">
            <w:pPr>
              <w:spacing w:before="60" w:after="60" w:line="240" w:lineRule="auto"/>
              <w:contextualSpacing/>
              <w:rPr>
                <w:rFonts w:eastAsia="Times New Roman" w:cs="Arial"/>
                <w:sz w:val="21"/>
                <w:szCs w:val="21"/>
              </w:rPr>
            </w:pPr>
            <w:r>
              <w:rPr>
                <w:b/>
                <w:sz w:val="21"/>
                <w:szCs w:val="21"/>
              </w:rPr>
              <w:t>5e)</w:t>
            </w:r>
            <w:r>
              <w:rPr>
                <w:sz w:val="21"/>
                <w:szCs w:val="21"/>
              </w:rPr>
              <w:t xml:space="preserve"> Décrire si le prestataire de services financiers peut mettre à disposition une équipe technique désignée, avec un </w:t>
            </w:r>
            <w:r>
              <w:rPr>
                <w:b/>
                <w:sz w:val="21"/>
                <w:szCs w:val="21"/>
              </w:rPr>
              <w:t>point focal technique dédié à l’intégration du système d’ERP</w:t>
            </w:r>
            <w:r>
              <w:rPr>
                <w:sz w:val="21"/>
                <w:szCs w:val="21"/>
              </w:rPr>
              <w:t xml:space="preserve"> </w:t>
            </w:r>
            <w:r>
              <w:rPr>
                <w:b/>
                <w:color w:val="1F4E79" w:themeColor="accent1" w:themeShade="80"/>
                <w:sz w:val="21"/>
                <w:szCs w:val="21"/>
              </w:rPr>
              <w:t>(</w:t>
            </w:r>
            <w:r>
              <w:rPr>
                <w:b/>
                <w:color w:val="1F4E79" w:themeColor="accent1" w:themeShade="80"/>
                <w:sz w:val="21"/>
                <w:szCs w:val="21"/>
                <w:u w:val="single"/>
              </w:rPr>
              <w:t>10 points</w:t>
            </w:r>
            <w:r>
              <w:rPr>
                <w:b/>
                <w:color w:val="1F4E79" w:themeColor="accent1" w:themeShade="80"/>
                <w:sz w:val="21"/>
                <w:szCs w:val="21"/>
              </w:rPr>
              <w:t>)</w:t>
            </w:r>
            <w:r>
              <w:rPr>
                <w:sz w:val="21"/>
                <w:szCs w:val="21"/>
              </w:rPr>
              <w:t>.</w:t>
            </w:r>
          </w:p>
        </w:tc>
      </w:tr>
      <w:tr w:rsidR="00B013F8" w:rsidRPr="00687A69" w14:paraId="3EC3D943"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8D5304" w14:textId="77777777" w:rsidR="00B013F8" w:rsidRDefault="00B013F8" w:rsidP="008A4ECB">
            <w:pPr>
              <w:spacing w:before="60" w:after="60" w:line="240" w:lineRule="auto"/>
              <w:contextualSpacing/>
              <w:rPr>
                <w:sz w:val="21"/>
                <w:szCs w:val="21"/>
              </w:rPr>
            </w:pPr>
          </w:p>
          <w:p w14:paraId="43FC4C86" w14:textId="77777777" w:rsidR="00796627" w:rsidRPr="00687A69" w:rsidRDefault="00796627" w:rsidP="008A4ECB">
            <w:pPr>
              <w:spacing w:before="60" w:after="60" w:line="240" w:lineRule="auto"/>
              <w:contextualSpacing/>
              <w:rPr>
                <w:sz w:val="21"/>
                <w:szCs w:val="21"/>
              </w:rPr>
            </w:pPr>
          </w:p>
          <w:p w14:paraId="08BFBD0A" w14:textId="77777777" w:rsidR="00B013F8" w:rsidRPr="00687A69" w:rsidRDefault="00B013F8" w:rsidP="008A4ECB">
            <w:pPr>
              <w:spacing w:before="60" w:after="60" w:line="240" w:lineRule="auto"/>
              <w:contextualSpacing/>
              <w:rPr>
                <w:sz w:val="21"/>
                <w:szCs w:val="21"/>
              </w:rPr>
            </w:pPr>
          </w:p>
        </w:tc>
      </w:tr>
      <w:tr w:rsidR="00DF6A01" w:rsidRPr="00687A69" w14:paraId="2C8AE615"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DEEAF6" w:themeFill="accent1" w:themeFillTint="33"/>
            <w:tcMar>
              <w:top w:w="0" w:type="dxa"/>
              <w:left w:w="108" w:type="dxa"/>
              <w:bottom w:w="0" w:type="dxa"/>
              <w:right w:w="108" w:type="dxa"/>
            </w:tcMar>
            <w:vAlign w:val="center"/>
          </w:tcPr>
          <w:p w14:paraId="5A0FD5D3" w14:textId="7BD520AA" w:rsidR="00DF6A01" w:rsidRPr="00687A69" w:rsidRDefault="00DF6A01" w:rsidP="005952D3">
            <w:pPr>
              <w:spacing w:before="60" w:after="60" w:line="240" w:lineRule="auto"/>
              <w:contextualSpacing/>
              <w:rPr>
                <w:rFonts w:eastAsia="Times New Roman" w:cs="Arial"/>
                <w:sz w:val="21"/>
                <w:szCs w:val="21"/>
              </w:rPr>
            </w:pPr>
            <w:r>
              <w:rPr>
                <w:b/>
                <w:sz w:val="21"/>
                <w:szCs w:val="21"/>
              </w:rPr>
              <w:t xml:space="preserve">6. Lancement et mise en œuvre du projet </w:t>
            </w:r>
            <w:r>
              <w:rPr>
                <w:b/>
                <w:color w:val="1F4E79" w:themeColor="accent1" w:themeShade="80"/>
                <w:sz w:val="21"/>
                <w:szCs w:val="21"/>
              </w:rPr>
              <w:t>(</w:t>
            </w:r>
            <w:r>
              <w:rPr>
                <w:b/>
                <w:color w:val="1F4E79" w:themeColor="accent1" w:themeShade="80"/>
                <w:sz w:val="21"/>
                <w:szCs w:val="21"/>
                <w:u w:val="single"/>
              </w:rPr>
              <w:t>60 points au total</w:t>
            </w:r>
            <w:r>
              <w:rPr>
                <w:b/>
                <w:color w:val="1F4E79" w:themeColor="accent1" w:themeShade="80"/>
                <w:sz w:val="21"/>
                <w:szCs w:val="21"/>
              </w:rPr>
              <w:t xml:space="preserve">, </w:t>
            </w:r>
            <w:r>
              <w:rPr>
                <w:i/>
                <w:color w:val="1F4E79" w:themeColor="accent1" w:themeShade="80"/>
                <w:sz w:val="21"/>
                <w:szCs w:val="21"/>
              </w:rPr>
              <w:t>barème détaillé ci-dessous</w:t>
            </w:r>
            <w:r>
              <w:rPr>
                <w:b/>
                <w:color w:val="1F4E79" w:themeColor="accent1" w:themeShade="80"/>
                <w:sz w:val="21"/>
                <w:szCs w:val="21"/>
              </w:rPr>
              <w:t xml:space="preserve">) </w:t>
            </w:r>
            <w:r>
              <w:rPr>
                <w:b/>
                <w:color w:val="C00000"/>
                <w:sz w:val="21"/>
                <w:szCs w:val="21"/>
              </w:rPr>
              <w:t>(</w:t>
            </w:r>
            <w:r w:rsidR="00426C1C" w:rsidRPr="00426C1C">
              <w:rPr>
                <w:i/>
                <w:color w:val="1F4E79" w:themeColor="accent1" w:themeShade="80"/>
                <w:sz w:val="21"/>
                <w:szCs w:val="21"/>
              </w:rPr>
              <w:t>Délai maximum pour la mise en œuvre global du projet (Inclus phase test jusqu</w:t>
            </w:r>
            <w:r w:rsidR="00426C1C">
              <w:rPr>
                <w:i/>
                <w:color w:val="1F4E79" w:themeColor="accent1" w:themeShade="80"/>
                <w:sz w:val="21"/>
                <w:szCs w:val="21"/>
              </w:rPr>
              <w:t>’</w:t>
            </w:r>
            <w:r w:rsidR="00426C1C" w:rsidRPr="00426C1C">
              <w:rPr>
                <w:i/>
                <w:color w:val="1F4E79" w:themeColor="accent1" w:themeShade="80"/>
                <w:sz w:val="21"/>
                <w:szCs w:val="21"/>
              </w:rPr>
              <w:t>au transfert des fonds aux bénéficiaires fixée à 6 mois</w:t>
            </w:r>
            <w:r w:rsidR="00426C1C">
              <w:rPr>
                <w:i/>
                <w:color w:val="1F4E79" w:themeColor="accent1" w:themeShade="80"/>
                <w:sz w:val="21"/>
                <w:szCs w:val="21"/>
              </w:rPr>
              <w:t>)</w:t>
            </w:r>
          </w:p>
        </w:tc>
      </w:tr>
      <w:tr w:rsidR="00DF6A01" w:rsidRPr="00687A69" w14:paraId="6AA2D46F"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67A972B7" w14:textId="37BB61F4" w:rsidR="00DF6A01" w:rsidRPr="00687A69" w:rsidRDefault="00DF6A01" w:rsidP="009D3A98">
            <w:pPr>
              <w:spacing w:before="60" w:after="60" w:line="240" w:lineRule="auto"/>
              <w:contextualSpacing/>
              <w:rPr>
                <w:rFonts w:eastAsia="Times New Roman" w:cs="Arial"/>
                <w:sz w:val="21"/>
                <w:szCs w:val="21"/>
              </w:rPr>
            </w:pPr>
            <w:r>
              <w:rPr>
                <w:b/>
                <w:sz w:val="21"/>
                <w:szCs w:val="21"/>
              </w:rPr>
              <w:lastRenderedPageBreak/>
              <w:t>6a)</w:t>
            </w:r>
            <w:r>
              <w:rPr>
                <w:sz w:val="21"/>
                <w:szCs w:val="21"/>
              </w:rPr>
              <w:t xml:space="preserve"> Fournir des informations sur le temps requis pour la préparation et le lancement du projet (entre la signature de l’accord-cadre et le premier transfert de fonds), et fournir un calendrier détaillé des étapes de la mise en œuvre de la liste des responsabilités de toutes les parties concernées.</w:t>
            </w:r>
            <w:r w:rsidR="00694926">
              <w:rPr>
                <w:sz w:val="21"/>
                <w:szCs w:val="21"/>
              </w:rPr>
              <w:t xml:space="preserve"> </w:t>
            </w:r>
            <w:r>
              <w:rPr>
                <w:b/>
                <w:color w:val="1F4E79" w:themeColor="accent1" w:themeShade="80"/>
                <w:sz w:val="21"/>
                <w:szCs w:val="21"/>
              </w:rPr>
              <w:t>(</w:t>
            </w:r>
            <w:r>
              <w:rPr>
                <w:b/>
                <w:color w:val="1F4E79" w:themeColor="accent1" w:themeShade="80"/>
                <w:sz w:val="21"/>
                <w:szCs w:val="21"/>
                <w:u w:val="single"/>
              </w:rPr>
              <w:t>40 points</w:t>
            </w:r>
            <w:r>
              <w:rPr>
                <w:b/>
                <w:color w:val="1F4E79" w:themeColor="accent1" w:themeShade="80"/>
                <w:sz w:val="21"/>
                <w:szCs w:val="21"/>
              </w:rPr>
              <w:t>)</w:t>
            </w:r>
          </w:p>
        </w:tc>
      </w:tr>
      <w:tr w:rsidR="00DF6A01" w:rsidRPr="00687A69" w14:paraId="665FBEEF"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3BC8D21" w14:textId="77777777" w:rsidR="00DF6A01" w:rsidRPr="00687A69" w:rsidRDefault="00DF6A01" w:rsidP="008A4ECB">
            <w:pPr>
              <w:spacing w:before="60" w:after="60" w:line="240" w:lineRule="auto"/>
              <w:contextualSpacing/>
              <w:rPr>
                <w:rFonts w:eastAsia="Times New Roman" w:cs="Arial"/>
                <w:sz w:val="21"/>
                <w:szCs w:val="21"/>
                <w:lang w:eastAsia="en-GB"/>
              </w:rPr>
            </w:pPr>
          </w:p>
          <w:p w14:paraId="41107E15" w14:textId="77777777" w:rsidR="00DF6A01" w:rsidRDefault="00DF6A01" w:rsidP="008A4ECB">
            <w:pPr>
              <w:spacing w:before="60" w:after="60" w:line="240" w:lineRule="auto"/>
              <w:contextualSpacing/>
              <w:rPr>
                <w:rFonts w:eastAsia="Times New Roman" w:cs="Arial"/>
                <w:sz w:val="21"/>
                <w:szCs w:val="21"/>
                <w:lang w:eastAsia="en-GB"/>
              </w:rPr>
            </w:pPr>
          </w:p>
          <w:p w14:paraId="737EE68E" w14:textId="77777777" w:rsidR="00796627" w:rsidRPr="00687A69" w:rsidRDefault="00796627" w:rsidP="008A4ECB">
            <w:pPr>
              <w:spacing w:before="60" w:after="60" w:line="240" w:lineRule="auto"/>
              <w:contextualSpacing/>
              <w:rPr>
                <w:rFonts w:eastAsia="Times New Roman" w:cs="Arial"/>
                <w:sz w:val="21"/>
                <w:szCs w:val="21"/>
                <w:lang w:eastAsia="en-GB"/>
              </w:rPr>
            </w:pPr>
          </w:p>
        </w:tc>
      </w:tr>
      <w:tr w:rsidR="00DF6A01" w:rsidRPr="00687A69" w14:paraId="09C12191"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22CBFA7" w14:textId="180AF9DB" w:rsidR="00DF6A01" w:rsidRPr="00687A69" w:rsidRDefault="00DF6A01" w:rsidP="008A4ECB">
            <w:pPr>
              <w:spacing w:before="60" w:after="60" w:line="240" w:lineRule="auto"/>
              <w:contextualSpacing/>
              <w:rPr>
                <w:rFonts w:eastAsia="Times New Roman" w:cs="Arial"/>
                <w:sz w:val="21"/>
                <w:szCs w:val="21"/>
              </w:rPr>
            </w:pPr>
            <w:r>
              <w:rPr>
                <w:b/>
                <w:sz w:val="21"/>
                <w:szCs w:val="21"/>
              </w:rPr>
              <w:t>6b)</w:t>
            </w:r>
            <w:r>
              <w:rPr>
                <w:sz w:val="21"/>
                <w:szCs w:val="21"/>
              </w:rPr>
              <w:t xml:space="preserve"> Décrire tout risque prévu dans la mise en œuvre de ce projet et les mesures d’atténuation potentielles. </w:t>
            </w:r>
            <w:r>
              <w:rPr>
                <w:b/>
                <w:color w:val="1F4E79" w:themeColor="accent1" w:themeShade="80"/>
                <w:sz w:val="21"/>
                <w:szCs w:val="21"/>
              </w:rPr>
              <w:t>(</w:t>
            </w:r>
            <w:r>
              <w:rPr>
                <w:b/>
                <w:color w:val="1F4E79" w:themeColor="accent1" w:themeShade="80"/>
                <w:sz w:val="21"/>
                <w:szCs w:val="21"/>
                <w:u w:val="single"/>
              </w:rPr>
              <w:t>20 points</w:t>
            </w:r>
            <w:r>
              <w:rPr>
                <w:b/>
                <w:color w:val="1F4E79" w:themeColor="accent1" w:themeShade="80"/>
                <w:sz w:val="21"/>
                <w:szCs w:val="21"/>
              </w:rPr>
              <w:t>)</w:t>
            </w:r>
          </w:p>
        </w:tc>
      </w:tr>
      <w:tr w:rsidR="00DF6A01" w:rsidRPr="00687A69" w14:paraId="6D3F4D92"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1317E7C" w14:textId="77777777" w:rsidR="00DF6A01" w:rsidRDefault="00DF6A01" w:rsidP="008A4ECB">
            <w:pPr>
              <w:spacing w:before="60" w:after="60" w:line="240" w:lineRule="auto"/>
              <w:contextualSpacing/>
              <w:rPr>
                <w:rFonts w:eastAsia="Times New Roman" w:cs="Arial"/>
                <w:sz w:val="21"/>
                <w:szCs w:val="21"/>
                <w:lang w:eastAsia="en-GB"/>
              </w:rPr>
            </w:pPr>
          </w:p>
          <w:p w14:paraId="30C1B775" w14:textId="77777777" w:rsidR="00796627" w:rsidRPr="00687A69" w:rsidRDefault="00796627" w:rsidP="008A4ECB">
            <w:pPr>
              <w:spacing w:before="60" w:after="60" w:line="240" w:lineRule="auto"/>
              <w:contextualSpacing/>
              <w:rPr>
                <w:rFonts w:eastAsia="Times New Roman" w:cs="Arial"/>
                <w:sz w:val="21"/>
                <w:szCs w:val="21"/>
                <w:lang w:eastAsia="en-GB"/>
              </w:rPr>
            </w:pPr>
          </w:p>
          <w:p w14:paraId="72CE3E77" w14:textId="77777777" w:rsidR="00DF6A01" w:rsidRPr="00687A69" w:rsidRDefault="00DF6A01" w:rsidP="008A4ECB">
            <w:pPr>
              <w:spacing w:before="60" w:after="60" w:line="240" w:lineRule="auto"/>
              <w:contextualSpacing/>
              <w:rPr>
                <w:rFonts w:eastAsia="Times New Roman" w:cs="Arial"/>
                <w:sz w:val="21"/>
                <w:szCs w:val="21"/>
                <w:lang w:eastAsia="en-GB"/>
              </w:rPr>
            </w:pPr>
          </w:p>
        </w:tc>
      </w:tr>
      <w:tr w:rsidR="00DF6A01" w:rsidRPr="00687A69" w14:paraId="15088413"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DEEAF6" w:themeFill="accent1" w:themeFillTint="33"/>
            <w:tcMar>
              <w:top w:w="0" w:type="dxa"/>
              <w:left w:w="108" w:type="dxa"/>
              <w:bottom w:w="0" w:type="dxa"/>
              <w:right w:w="108" w:type="dxa"/>
            </w:tcMar>
            <w:vAlign w:val="center"/>
          </w:tcPr>
          <w:p w14:paraId="308FBB13" w14:textId="6835B378" w:rsidR="00DF6A01" w:rsidRPr="00687A69" w:rsidRDefault="00DF6A01" w:rsidP="002415E5">
            <w:pPr>
              <w:spacing w:before="60" w:after="60" w:line="240" w:lineRule="auto"/>
              <w:contextualSpacing/>
              <w:rPr>
                <w:rFonts w:eastAsia="Times New Roman" w:cs="Arial"/>
                <w:i/>
                <w:color w:val="FF0000"/>
                <w:sz w:val="21"/>
                <w:szCs w:val="21"/>
              </w:rPr>
            </w:pPr>
            <w:r>
              <w:rPr>
                <w:b/>
                <w:sz w:val="21"/>
                <w:szCs w:val="21"/>
              </w:rPr>
              <w:t>7.  Suivi et établissement de rapports</w:t>
            </w:r>
            <w:r>
              <w:rPr>
                <w:sz w:val="21"/>
                <w:szCs w:val="21"/>
              </w:rPr>
              <w:t xml:space="preserve"> </w:t>
            </w:r>
            <w:r>
              <w:rPr>
                <w:b/>
                <w:color w:val="1F4E79" w:themeColor="accent1" w:themeShade="80"/>
                <w:sz w:val="21"/>
                <w:szCs w:val="21"/>
              </w:rPr>
              <w:t>(</w:t>
            </w:r>
            <w:r>
              <w:rPr>
                <w:b/>
                <w:color w:val="1F4E79" w:themeColor="accent1" w:themeShade="80"/>
                <w:sz w:val="21"/>
                <w:szCs w:val="21"/>
                <w:u w:val="single"/>
              </w:rPr>
              <w:t>80 points au total</w:t>
            </w:r>
            <w:r>
              <w:rPr>
                <w:b/>
                <w:color w:val="1F4E79" w:themeColor="accent1" w:themeShade="80"/>
                <w:sz w:val="21"/>
                <w:szCs w:val="21"/>
              </w:rPr>
              <w:t xml:space="preserve">, </w:t>
            </w:r>
            <w:r>
              <w:rPr>
                <w:i/>
                <w:color w:val="1F4E79" w:themeColor="accent1" w:themeShade="80"/>
                <w:sz w:val="21"/>
                <w:szCs w:val="21"/>
              </w:rPr>
              <w:t>barème détaillé ci-dessous</w:t>
            </w:r>
            <w:r>
              <w:rPr>
                <w:b/>
                <w:color w:val="1F4E79" w:themeColor="accent1" w:themeShade="80"/>
                <w:sz w:val="21"/>
                <w:szCs w:val="21"/>
              </w:rPr>
              <w:t xml:space="preserve">) </w:t>
            </w:r>
            <w:r>
              <w:rPr>
                <w:b/>
                <w:color w:val="C00000"/>
                <w:sz w:val="21"/>
                <w:szCs w:val="21"/>
              </w:rPr>
              <w:t>(</w:t>
            </w:r>
            <w:r w:rsidR="00426C1C">
              <w:rPr>
                <w:b/>
                <w:color w:val="C00000"/>
                <w:sz w:val="21"/>
                <w:szCs w:val="21"/>
              </w:rPr>
              <w:t xml:space="preserve">Un rapport est requis à la fin de chaque opération) </w:t>
            </w:r>
          </w:p>
        </w:tc>
      </w:tr>
      <w:tr w:rsidR="00DF6A01" w:rsidRPr="00687A69" w14:paraId="771D48DD" w14:textId="77777777" w:rsidTr="00DB08F0">
        <w:trPr>
          <w:trHeight w:val="101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7F7A7007" w14:textId="528704F6" w:rsidR="00942C96" w:rsidRPr="00F81D84" w:rsidRDefault="00DF6A01" w:rsidP="008A4ECB">
            <w:pPr>
              <w:spacing w:after="0" w:line="240" w:lineRule="auto"/>
              <w:jc w:val="both"/>
              <w:rPr>
                <w:sz w:val="21"/>
                <w:szCs w:val="21"/>
              </w:rPr>
            </w:pPr>
            <w:r>
              <w:rPr>
                <w:b/>
                <w:sz w:val="21"/>
                <w:szCs w:val="21"/>
              </w:rPr>
              <w:t>7a)</w:t>
            </w:r>
            <w:r>
              <w:rPr>
                <w:sz w:val="21"/>
                <w:szCs w:val="21"/>
              </w:rPr>
              <w:t xml:space="preserve"> </w:t>
            </w:r>
            <w:r>
              <w:rPr>
                <w:b/>
                <w:bCs/>
                <w:sz w:val="21"/>
                <w:szCs w:val="21"/>
              </w:rPr>
              <w:t xml:space="preserve">Pour chaque instruction de paiement, </w:t>
            </w:r>
            <w:r>
              <w:rPr>
                <w:sz w:val="21"/>
                <w:szCs w:val="21"/>
              </w:rPr>
              <w:t xml:space="preserve">préciser si le prestataire de services financiers peut communiquer les rapports suivants : </w:t>
            </w:r>
            <w:r>
              <w:rPr>
                <w:b/>
                <w:color w:val="1F4E79" w:themeColor="accent1" w:themeShade="80"/>
                <w:sz w:val="21"/>
                <w:szCs w:val="21"/>
                <w:u w:val="single"/>
              </w:rPr>
              <w:t xml:space="preserve">(20 points au total, </w:t>
            </w:r>
            <w:r>
              <w:rPr>
                <w:i/>
                <w:color w:val="1F4E79" w:themeColor="accent1" w:themeShade="80"/>
                <w:sz w:val="21"/>
                <w:szCs w:val="21"/>
                <w:u w:val="single"/>
              </w:rPr>
              <w:t>10 points pour chaque rapport</w:t>
            </w:r>
            <w:r>
              <w:rPr>
                <w:b/>
                <w:color w:val="1F4E79" w:themeColor="accent1" w:themeShade="80"/>
                <w:sz w:val="21"/>
                <w:szCs w:val="21"/>
                <w:u w:val="single"/>
              </w:rPr>
              <w:t>)</w:t>
            </w:r>
          </w:p>
          <w:p w14:paraId="1728B089" w14:textId="47C99179" w:rsidR="00942C96" w:rsidRPr="00F81D84" w:rsidRDefault="00942C96" w:rsidP="008A4ECB">
            <w:pPr>
              <w:pStyle w:val="Paragraphedeliste"/>
              <w:numPr>
                <w:ilvl w:val="0"/>
                <w:numId w:val="4"/>
              </w:numPr>
              <w:spacing w:before="0" w:beforeAutospacing="0" w:after="0" w:afterAutospacing="0"/>
              <w:ind w:left="733" w:hanging="373"/>
              <w:jc w:val="both"/>
              <w:rPr>
                <w:rFonts w:ascii="Calibri" w:hAnsi="Calibri"/>
                <w:sz w:val="21"/>
                <w:szCs w:val="21"/>
              </w:rPr>
            </w:pPr>
            <w:r>
              <w:rPr>
                <w:rFonts w:ascii="Calibri" w:hAnsi="Calibri"/>
                <w:sz w:val="21"/>
                <w:szCs w:val="21"/>
              </w:rPr>
              <w:t xml:space="preserve">Un rapport de confirmation confirmant les paiements effectivement versés aux bénéficiaires, avec leur numéro d’identification individuel, les montants reçus par chacun d’entre eux et les dates de réception </w:t>
            </w:r>
          </w:p>
          <w:p w14:paraId="17E63F76" w14:textId="1ADEB097" w:rsidR="00DF6A01" w:rsidRPr="00826299" w:rsidRDefault="00942C96" w:rsidP="008A4ECB">
            <w:pPr>
              <w:pStyle w:val="Paragraphedeliste"/>
              <w:numPr>
                <w:ilvl w:val="0"/>
                <w:numId w:val="4"/>
              </w:numPr>
              <w:spacing w:before="0" w:beforeAutospacing="0" w:after="0" w:afterAutospacing="0"/>
              <w:ind w:left="733" w:hanging="373"/>
              <w:jc w:val="both"/>
              <w:rPr>
                <w:rFonts w:ascii="Calibri" w:hAnsi="Calibri"/>
                <w:sz w:val="21"/>
                <w:szCs w:val="21"/>
              </w:rPr>
            </w:pPr>
            <w:r>
              <w:rPr>
                <w:rFonts w:ascii="Calibri" w:hAnsi="Calibri"/>
                <w:sz w:val="21"/>
                <w:szCs w:val="21"/>
              </w:rPr>
              <w:t>Un rapport de rapprochement pour les montants non versés et le solde restant à rembourser au HCR</w:t>
            </w:r>
          </w:p>
        </w:tc>
      </w:tr>
      <w:tr w:rsidR="00DF6A01" w:rsidRPr="00687A69" w14:paraId="6A79EFB8" w14:textId="77777777" w:rsidTr="00DB08F0">
        <w:trPr>
          <w:trHeight w:val="709"/>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9812C90" w14:textId="77777777" w:rsidR="00DF6A01" w:rsidRPr="00687A69" w:rsidRDefault="00DF6A01" w:rsidP="008A4ECB">
            <w:pPr>
              <w:spacing w:before="60" w:after="60" w:line="240" w:lineRule="auto"/>
              <w:contextualSpacing/>
              <w:rPr>
                <w:rFonts w:eastAsia="Times New Roman" w:cs="Arial"/>
                <w:sz w:val="21"/>
                <w:szCs w:val="21"/>
                <w:lang w:eastAsia="en-GB"/>
              </w:rPr>
            </w:pPr>
          </w:p>
          <w:p w14:paraId="2B9767E8" w14:textId="77777777" w:rsidR="00DF6A01" w:rsidRPr="00687A69" w:rsidRDefault="00DF6A01" w:rsidP="008A4ECB">
            <w:pPr>
              <w:spacing w:before="60" w:after="60" w:line="240" w:lineRule="auto"/>
              <w:contextualSpacing/>
              <w:rPr>
                <w:rFonts w:eastAsia="Times New Roman" w:cs="Arial"/>
                <w:sz w:val="21"/>
                <w:szCs w:val="21"/>
                <w:lang w:eastAsia="en-GB"/>
              </w:rPr>
            </w:pPr>
          </w:p>
        </w:tc>
      </w:tr>
      <w:tr w:rsidR="00942C96" w:rsidRPr="00687A69" w14:paraId="62078CC5" w14:textId="77777777" w:rsidTr="00DB08F0">
        <w:trPr>
          <w:trHeight w:val="709"/>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2A21394A" w14:textId="7E9E141A" w:rsidR="00942C96" w:rsidRPr="00942C96" w:rsidRDefault="00942C96" w:rsidP="008A4ECB">
            <w:pPr>
              <w:spacing w:after="0" w:line="240" w:lineRule="auto"/>
              <w:jc w:val="both"/>
              <w:rPr>
                <w:sz w:val="21"/>
                <w:szCs w:val="21"/>
              </w:rPr>
            </w:pPr>
            <w:r>
              <w:rPr>
                <w:b/>
                <w:sz w:val="21"/>
                <w:szCs w:val="21"/>
              </w:rPr>
              <w:t>7b)</w:t>
            </w:r>
            <w:r>
              <w:rPr>
                <w:sz w:val="21"/>
                <w:szCs w:val="21"/>
              </w:rPr>
              <w:t xml:space="preserve"> </w:t>
            </w:r>
            <w:r>
              <w:rPr>
                <w:b/>
                <w:bCs/>
                <w:sz w:val="21"/>
                <w:szCs w:val="21"/>
              </w:rPr>
              <w:t>Pour chaque rapport périodique énuméré ci-dessous</w:t>
            </w:r>
            <w:r>
              <w:rPr>
                <w:sz w:val="21"/>
                <w:szCs w:val="21"/>
              </w:rPr>
              <w:t>, indiquer si le prestataire de services financiers peut le fournir au HCR et la fréquence concernée (</w:t>
            </w:r>
            <w:r w:rsidR="00426C1C">
              <w:rPr>
                <w:sz w:val="21"/>
                <w:szCs w:val="21"/>
              </w:rPr>
              <w:t xml:space="preserve">après chaque opération ou </w:t>
            </w:r>
            <w:r>
              <w:rPr>
                <w:sz w:val="21"/>
                <w:szCs w:val="21"/>
              </w:rPr>
              <w:t xml:space="preserve">mensuelle, tel que </w:t>
            </w:r>
            <w:proofErr w:type="gramStart"/>
            <w:r>
              <w:rPr>
                <w:sz w:val="21"/>
                <w:szCs w:val="21"/>
              </w:rPr>
              <w:t>nécessaire:</w:t>
            </w:r>
            <w:proofErr w:type="gramEnd"/>
            <w:r>
              <w:rPr>
                <w:sz w:val="21"/>
                <w:szCs w:val="21"/>
              </w:rPr>
              <w:t xml:space="preserve"> </w:t>
            </w:r>
            <w:r>
              <w:rPr>
                <w:color w:val="1F4E79" w:themeColor="accent1" w:themeShade="80"/>
                <w:sz w:val="21"/>
                <w:szCs w:val="21"/>
                <w:u w:val="single"/>
              </w:rPr>
              <w:t>(</w:t>
            </w:r>
            <w:r>
              <w:rPr>
                <w:b/>
                <w:color w:val="1F4E79" w:themeColor="accent1" w:themeShade="80"/>
                <w:sz w:val="21"/>
                <w:szCs w:val="21"/>
                <w:u w:val="single"/>
              </w:rPr>
              <w:t xml:space="preserve">20 points au total, </w:t>
            </w:r>
            <w:r>
              <w:rPr>
                <w:i/>
                <w:color w:val="1F4E79" w:themeColor="accent1" w:themeShade="80"/>
                <w:sz w:val="21"/>
                <w:szCs w:val="21"/>
                <w:u w:val="single"/>
              </w:rPr>
              <w:t>barème détaillé pour chaque rapport ci-dessous</w:t>
            </w:r>
            <w:r>
              <w:rPr>
                <w:b/>
                <w:color w:val="1F4E79" w:themeColor="accent1" w:themeShade="80"/>
                <w:sz w:val="21"/>
                <w:szCs w:val="21"/>
                <w:u w:val="single"/>
              </w:rPr>
              <w:t>)</w:t>
            </w:r>
          </w:p>
          <w:p w14:paraId="579FA5F2" w14:textId="1AD9E8BD" w:rsidR="00942C96" w:rsidRPr="00942C96" w:rsidRDefault="00942C96" w:rsidP="008A4ECB">
            <w:pPr>
              <w:pStyle w:val="Paragraphedeliste"/>
              <w:numPr>
                <w:ilvl w:val="0"/>
                <w:numId w:val="3"/>
              </w:numPr>
              <w:spacing w:before="0" w:beforeAutospacing="0" w:after="0" w:afterAutospacing="0"/>
              <w:ind w:left="733" w:hanging="373"/>
              <w:jc w:val="both"/>
              <w:rPr>
                <w:rFonts w:ascii="Calibri" w:hAnsi="Calibri"/>
                <w:sz w:val="21"/>
                <w:szCs w:val="21"/>
              </w:rPr>
            </w:pPr>
            <w:r>
              <w:rPr>
                <w:rFonts w:ascii="Calibri" w:hAnsi="Calibri"/>
                <w:sz w:val="21"/>
                <w:szCs w:val="21"/>
              </w:rPr>
              <w:t xml:space="preserve">Un rapport décrivant les mouvements et le solde du compte ou du portefeuille dédié au HCR </w:t>
            </w:r>
            <w:r>
              <w:rPr>
                <w:rFonts w:ascii="Calibri" w:hAnsi="Calibri"/>
                <w:i/>
                <w:color w:val="1F4E79" w:themeColor="accent1" w:themeShade="80"/>
                <w:sz w:val="18"/>
                <w:szCs w:val="18"/>
              </w:rPr>
              <w:t>(3 points)</w:t>
            </w:r>
          </w:p>
          <w:p w14:paraId="22AE1B7E" w14:textId="65D9AFDE" w:rsidR="00942C96" w:rsidRPr="00942C96" w:rsidRDefault="002704CE" w:rsidP="008A4ECB">
            <w:pPr>
              <w:pStyle w:val="Paragraphedeliste"/>
              <w:numPr>
                <w:ilvl w:val="0"/>
                <w:numId w:val="3"/>
              </w:numPr>
              <w:spacing w:before="0" w:beforeAutospacing="0" w:after="0" w:afterAutospacing="0"/>
              <w:ind w:left="733" w:hanging="373"/>
              <w:jc w:val="both"/>
              <w:rPr>
                <w:rFonts w:ascii="Calibri" w:hAnsi="Calibri"/>
                <w:sz w:val="21"/>
                <w:szCs w:val="21"/>
              </w:rPr>
            </w:pPr>
            <w:r>
              <w:rPr>
                <w:rFonts w:ascii="Calibri" w:hAnsi="Calibri"/>
                <w:sz w:val="21"/>
                <w:szCs w:val="21"/>
              </w:rPr>
              <w:t xml:space="preserve">Pour les sous-comptes appartenant au HCR (c’est-à-dire les cartes prépayées), un rapport détaillant, pour chaque sous-compte, les montants et les dates de réception et de retrait des fonds du HCR par le bénéficiaire </w:t>
            </w:r>
            <w:r>
              <w:rPr>
                <w:rFonts w:ascii="Calibri" w:hAnsi="Calibri"/>
                <w:i/>
                <w:color w:val="1F4E79" w:themeColor="accent1" w:themeShade="80"/>
                <w:sz w:val="18"/>
                <w:szCs w:val="18"/>
              </w:rPr>
              <w:t>(3 points)</w:t>
            </w:r>
          </w:p>
          <w:p w14:paraId="0C617DCE" w14:textId="04A69F91" w:rsidR="00942C96" w:rsidRPr="00942C96" w:rsidRDefault="00942C96" w:rsidP="00F40E26">
            <w:pPr>
              <w:pStyle w:val="Paragraphedeliste"/>
              <w:numPr>
                <w:ilvl w:val="0"/>
                <w:numId w:val="3"/>
              </w:numPr>
              <w:spacing w:before="0" w:beforeAutospacing="0" w:after="0" w:afterAutospacing="0"/>
              <w:ind w:left="733" w:hanging="373"/>
              <w:jc w:val="both"/>
              <w:rPr>
                <w:rFonts w:ascii="Calibri" w:hAnsi="Calibri"/>
                <w:sz w:val="21"/>
                <w:szCs w:val="21"/>
              </w:rPr>
            </w:pPr>
            <w:r>
              <w:rPr>
                <w:rFonts w:ascii="Calibri" w:hAnsi="Calibri"/>
                <w:sz w:val="21"/>
                <w:szCs w:val="21"/>
              </w:rPr>
              <w:t xml:space="preserve">Un rapport présentant une liste des comptes activés et désactivés </w:t>
            </w:r>
            <w:r>
              <w:rPr>
                <w:rFonts w:ascii="Calibri" w:hAnsi="Calibri"/>
                <w:i/>
                <w:color w:val="1F4E79" w:themeColor="accent1" w:themeShade="80"/>
                <w:sz w:val="18"/>
                <w:szCs w:val="18"/>
              </w:rPr>
              <w:t>(2 points)</w:t>
            </w:r>
            <w:r>
              <w:rPr>
                <w:rFonts w:ascii="Calibri" w:hAnsi="Calibri"/>
                <w:sz w:val="21"/>
                <w:szCs w:val="21"/>
              </w:rPr>
              <w:t xml:space="preserve">  </w:t>
            </w:r>
          </w:p>
          <w:p w14:paraId="1323F0D3" w14:textId="5C2778F8" w:rsidR="00942C96" w:rsidRPr="00E624B5" w:rsidRDefault="00942C96" w:rsidP="00F40E26">
            <w:pPr>
              <w:pStyle w:val="Paragraphedeliste"/>
              <w:numPr>
                <w:ilvl w:val="0"/>
                <w:numId w:val="3"/>
              </w:numPr>
              <w:spacing w:before="0" w:beforeAutospacing="0" w:after="0" w:afterAutospacing="0"/>
              <w:ind w:left="733" w:hanging="373"/>
              <w:jc w:val="both"/>
              <w:rPr>
                <w:rFonts w:ascii="Calibri" w:hAnsi="Calibri"/>
                <w:sz w:val="21"/>
                <w:szCs w:val="21"/>
              </w:rPr>
            </w:pPr>
            <w:r>
              <w:rPr>
                <w:rFonts w:ascii="Calibri" w:hAnsi="Calibri"/>
                <w:sz w:val="21"/>
                <w:szCs w:val="21"/>
              </w:rPr>
              <w:t xml:space="preserve">Un rapport des comptes inactifs pour 1, 2 ou 3 mois, y compris le solde du compte </w:t>
            </w:r>
            <w:r>
              <w:rPr>
                <w:rFonts w:ascii="Calibri" w:hAnsi="Calibri"/>
                <w:i/>
                <w:color w:val="1F4E79" w:themeColor="accent1" w:themeShade="80"/>
                <w:sz w:val="18"/>
                <w:szCs w:val="18"/>
              </w:rPr>
              <w:t>(2 points)</w:t>
            </w:r>
          </w:p>
          <w:p w14:paraId="72678441" w14:textId="2A30F8AD" w:rsidR="00E624B5" w:rsidRPr="00942C96" w:rsidRDefault="00E624B5" w:rsidP="00F40E26">
            <w:pPr>
              <w:pStyle w:val="Paragraphedeliste"/>
              <w:numPr>
                <w:ilvl w:val="0"/>
                <w:numId w:val="3"/>
              </w:numPr>
              <w:spacing w:before="0" w:beforeAutospacing="0" w:after="0" w:afterAutospacing="0"/>
              <w:ind w:left="733" w:hanging="373"/>
              <w:jc w:val="both"/>
              <w:rPr>
                <w:rFonts w:ascii="Calibri" w:hAnsi="Calibri"/>
                <w:sz w:val="21"/>
                <w:szCs w:val="21"/>
              </w:rPr>
            </w:pPr>
            <w:r>
              <w:rPr>
                <w:rFonts w:ascii="Calibri" w:hAnsi="Calibri"/>
                <w:sz w:val="21"/>
                <w:szCs w:val="21"/>
              </w:rPr>
              <w:t xml:space="preserve">Un rapport précisant les retraits effectués à l’étranger </w:t>
            </w:r>
            <w:r>
              <w:rPr>
                <w:rFonts w:ascii="Calibri" w:hAnsi="Calibri"/>
                <w:i/>
                <w:color w:val="1F4E79" w:themeColor="accent1" w:themeShade="80"/>
                <w:sz w:val="18"/>
                <w:szCs w:val="18"/>
              </w:rPr>
              <w:t>(2 points)</w:t>
            </w:r>
          </w:p>
          <w:p w14:paraId="64DA8FD7" w14:textId="49FDD2B9" w:rsidR="00942C96" w:rsidRPr="00942C96" w:rsidRDefault="00942C96" w:rsidP="00F40E26">
            <w:pPr>
              <w:pStyle w:val="Paragraphedeliste"/>
              <w:numPr>
                <w:ilvl w:val="0"/>
                <w:numId w:val="3"/>
              </w:numPr>
              <w:spacing w:before="0" w:beforeAutospacing="0" w:after="0" w:afterAutospacing="0"/>
              <w:ind w:left="733" w:hanging="373"/>
              <w:jc w:val="both"/>
              <w:rPr>
                <w:rFonts w:ascii="Calibri" w:hAnsi="Calibri"/>
                <w:sz w:val="21"/>
                <w:szCs w:val="21"/>
              </w:rPr>
            </w:pPr>
            <w:r>
              <w:rPr>
                <w:rFonts w:ascii="Calibri" w:hAnsi="Calibri"/>
                <w:sz w:val="21"/>
                <w:szCs w:val="21"/>
              </w:rPr>
              <w:t xml:space="preserve">Un rapport présentant une liste des tentatives ou cas de fraude </w:t>
            </w:r>
            <w:r>
              <w:rPr>
                <w:rFonts w:ascii="Calibri" w:hAnsi="Calibri"/>
                <w:i/>
                <w:color w:val="1F4E79" w:themeColor="accent1" w:themeShade="80"/>
                <w:sz w:val="18"/>
                <w:szCs w:val="18"/>
              </w:rPr>
              <w:t>(2 points)</w:t>
            </w:r>
          </w:p>
          <w:p w14:paraId="53B56773" w14:textId="3ED16BBB" w:rsidR="00942C96" w:rsidRDefault="00942C96" w:rsidP="00F40E26">
            <w:pPr>
              <w:pStyle w:val="Paragraphedeliste"/>
              <w:numPr>
                <w:ilvl w:val="0"/>
                <w:numId w:val="3"/>
              </w:numPr>
              <w:spacing w:before="0" w:beforeAutospacing="0" w:after="0" w:afterAutospacing="0"/>
              <w:ind w:left="733" w:hanging="373"/>
              <w:jc w:val="both"/>
              <w:rPr>
                <w:rFonts w:ascii="Calibri" w:hAnsi="Calibri"/>
                <w:sz w:val="21"/>
                <w:szCs w:val="21"/>
              </w:rPr>
            </w:pPr>
            <w:r>
              <w:rPr>
                <w:rFonts w:ascii="Calibri" w:hAnsi="Calibri"/>
                <w:sz w:val="21"/>
                <w:szCs w:val="21"/>
              </w:rPr>
              <w:t xml:space="preserve">Un rapport établissant une liste de tous les incidents et retards dans la mise en œuvre du service </w:t>
            </w:r>
            <w:r>
              <w:rPr>
                <w:rFonts w:ascii="Calibri" w:hAnsi="Calibri"/>
                <w:i/>
                <w:color w:val="1F4E79" w:themeColor="accent1" w:themeShade="80"/>
                <w:sz w:val="18"/>
                <w:szCs w:val="18"/>
              </w:rPr>
              <w:t>(2 points)</w:t>
            </w:r>
          </w:p>
          <w:p w14:paraId="2C851526" w14:textId="4B41FDDB" w:rsidR="007D791E" w:rsidRPr="009C67CE" w:rsidRDefault="007D791E" w:rsidP="007D791E">
            <w:pPr>
              <w:pStyle w:val="Paragraphedeliste"/>
              <w:numPr>
                <w:ilvl w:val="0"/>
                <w:numId w:val="3"/>
              </w:numPr>
              <w:spacing w:before="0" w:beforeAutospacing="0" w:after="0" w:afterAutospacing="0"/>
              <w:ind w:left="733" w:hanging="373"/>
              <w:jc w:val="both"/>
              <w:rPr>
                <w:rFonts w:ascii="Calibri" w:hAnsi="Calibri"/>
                <w:sz w:val="21"/>
                <w:szCs w:val="21"/>
              </w:rPr>
            </w:pPr>
            <w:r>
              <w:rPr>
                <w:rFonts w:asciiTheme="minorHAnsi" w:hAnsiTheme="minorHAnsi"/>
                <w:color w:val="000000"/>
                <w:sz w:val="21"/>
                <w:szCs w:val="21"/>
              </w:rPr>
              <w:t xml:space="preserve">Un rapport proposant un aperçu des demandes de service client, de la résolution des problèmes (y compris délais de résolution) et, le cas échéant, des renvois </w:t>
            </w:r>
            <w:r>
              <w:rPr>
                <w:rFonts w:ascii="Calibri" w:hAnsi="Calibri"/>
                <w:i/>
                <w:color w:val="1F4E79" w:themeColor="accent1" w:themeShade="80"/>
                <w:sz w:val="18"/>
                <w:szCs w:val="18"/>
              </w:rPr>
              <w:t>(2 points)</w:t>
            </w:r>
          </w:p>
          <w:p w14:paraId="0DB7DF8B" w14:textId="5280234F" w:rsidR="00942C96" w:rsidRPr="00942C96" w:rsidRDefault="007D791E" w:rsidP="00F40E26">
            <w:pPr>
              <w:pStyle w:val="Paragraphedeliste"/>
              <w:numPr>
                <w:ilvl w:val="0"/>
                <w:numId w:val="3"/>
              </w:numPr>
              <w:spacing w:before="0" w:beforeAutospacing="0" w:after="0" w:afterAutospacing="0"/>
              <w:ind w:left="733" w:hanging="373"/>
              <w:jc w:val="both"/>
              <w:rPr>
                <w:rFonts w:ascii="Calibri" w:hAnsi="Calibri"/>
                <w:sz w:val="21"/>
                <w:szCs w:val="21"/>
              </w:rPr>
            </w:pPr>
            <w:r>
              <w:rPr>
                <w:rFonts w:ascii="Calibri" w:hAnsi="Calibri"/>
                <w:sz w:val="21"/>
                <w:szCs w:val="21"/>
              </w:rPr>
              <w:t xml:space="preserve">Un rapport sur les activités de formation organisées avec l’utilisateur concerné ou les produits d’orientation distribués aux utilisateurs </w:t>
            </w:r>
            <w:r>
              <w:rPr>
                <w:rFonts w:ascii="Calibri" w:hAnsi="Calibri"/>
                <w:i/>
                <w:color w:val="1F4E79" w:themeColor="accent1" w:themeShade="80"/>
                <w:sz w:val="18"/>
                <w:szCs w:val="18"/>
              </w:rPr>
              <w:t>(2 points)</w:t>
            </w:r>
          </w:p>
        </w:tc>
      </w:tr>
      <w:tr w:rsidR="00826299" w:rsidRPr="00687A69" w14:paraId="003AE5FF" w14:textId="77777777" w:rsidTr="00DB08F0">
        <w:trPr>
          <w:trHeight w:val="709"/>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A47D173" w14:textId="77777777" w:rsidR="00826299" w:rsidRPr="00687A69" w:rsidRDefault="00826299" w:rsidP="00043A2B">
            <w:pPr>
              <w:spacing w:before="60" w:after="60" w:line="240" w:lineRule="auto"/>
              <w:contextualSpacing/>
              <w:rPr>
                <w:rFonts w:eastAsia="Times New Roman" w:cs="Arial"/>
                <w:sz w:val="21"/>
                <w:szCs w:val="21"/>
                <w:lang w:eastAsia="en-GB"/>
              </w:rPr>
            </w:pPr>
          </w:p>
        </w:tc>
      </w:tr>
      <w:tr w:rsidR="00826299" w:rsidRPr="00687A69" w14:paraId="6DCCFF3D" w14:textId="77777777" w:rsidTr="00DB08F0">
        <w:trPr>
          <w:trHeight w:val="360"/>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42C97EB" w14:textId="2AA99832" w:rsidR="00826299" w:rsidRPr="0098404D" w:rsidRDefault="00826299" w:rsidP="00826299">
            <w:pPr>
              <w:spacing w:before="60" w:after="60" w:line="240" w:lineRule="auto"/>
              <w:contextualSpacing/>
              <w:rPr>
                <w:rFonts w:eastAsia="Times New Roman" w:cs="Arial"/>
                <w:sz w:val="21"/>
                <w:szCs w:val="21"/>
              </w:rPr>
            </w:pPr>
            <w:r>
              <w:rPr>
                <w:b/>
                <w:sz w:val="21"/>
                <w:szCs w:val="21"/>
              </w:rPr>
              <w:t>7c)</w:t>
            </w:r>
            <w:r>
              <w:rPr>
                <w:sz w:val="21"/>
                <w:szCs w:val="21"/>
              </w:rPr>
              <w:t xml:space="preserve"> Indiquer si le prestataire de services financiers dispose d’un </w:t>
            </w:r>
            <w:r>
              <w:rPr>
                <w:b/>
                <w:bCs/>
                <w:sz w:val="21"/>
                <w:szCs w:val="21"/>
              </w:rPr>
              <w:t>système ou portail de communication des rapports</w:t>
            </w:r>
            <w:r>
              <w:rPr>
                <w:sz w:val="21"/>
                <w:szCs w:val="21"/>
              </w:rPr>
              <w:t xml:space="preserve"> accessible en ligne en temps réel. Décrire le système. </w:t>
            </w:r>
            <w:r>
              <w:rPr>
                <w:b/>
                <w:color w:val="1F4E79" w:themeColor="accent1" w:themeShade="80"/>
                <w:sz w:val="21"/>
                <w:szCs w:val="21"/>
                <w:u w:val="single"/>
              </w:rPr>
              <w:t>(20 points)</w:t>
            </w:r>
          </w:p>
        </w:tc>
      </w:tr>
      <w:tr w:rsidR="00942C96" w:rsidRPr="00687A69" w14:paraId="2B47FF55" w14:textId="77777777" w:rsidTr="00DB08F0">
        <w:trPr>
          <w:trHeight w:val="709"/>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2BB6CC1" w14:textId="77777777" w:rsidR="00942C96" w:rsidRPr="00687A69" w:rsidRDefault="00942C96" w:rsidP="00043A2B">
            <w:pPr>
              <w:spacing w:before="60" w:after="60" w:line="240" w:lineRule="auto"/>
              <w:contextualSpacing/>
              <w:rPr>
                <w:rFonts w:eastAsia="Times New Roman" w:cs="Arial"/>
                <w:sz w:val="21"/>
                <w:szCs w:val="21"/>
                <w:lang w:eastAsia="en-GB"/>
              </w:rPr>
            </w:pPr>
          </w:p>
        </w:tc>
      </w:tr>
      <w:tr w:rsidR="00E55BBE" w:rsidRPr="00687A69" w14:paraId="6539EE36" w14:textId="77777777" w:rsidTr="00DB08F0">
        <w:trPr>
          <w:trHeight w:val="586"/>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7CE47FED" w14:textId="676E6C54" w:rsidR="00E55BBE" w:rsidRPr="00B644CD" w:rsidRDefault="00826299" w:rsidP="00E55BBE">
            <w:pPr>
              <w:spacing w:after="0"/>
              <w:jc w:val="both"/>
              <w:rPr>
                <w:rFonts w:cs="Arial"/>
                <w:color w:val="000000"/>
                <w:sz w:val="21"/>
                <w:szCs w:val="21"/>
              </w:rPr>
            </w:pPr>
            <w:r>
              <w:rPr>
                <w:b/>
                <w:sz w:val="21"/>
                <w:szCs w:val="21"/>
              </w:rPr>
              <w:t>7d)</w:t>
            </w:r>
            <w:r>
              <w:rPr>
                <w:sz w:val="21"/>
                <w:szCs w:val="21"/>
              </w:rPr>
              <w:t xml:space="preserve"> </w:t>
            </w:r>
            <w:r>
              <w:rPr>
                <w:b/>
                <w:sz w:val="21"/>
                <w:szCs w:val="21"/>
              </w:rPr>
              <w:t>Si le prestataire de services financiers possède une plateforme électronique d’établissement de rapports</w:t>
            </w:r>
            <w:r>
              <w:rPr>
                <w:sz w:val="21"/>
                <w:szCs w:val="21"/>
              </w:rPr>
              <w:t xml:space="preserve">, indiquer s’il a la capacité de fournir les rapports ci-dessous : </w:t>
            </w:r>
            <w:r>
              <w:rPr>
                <w:b/>
                <w:color w:val="1F4E79" w:themeColor="accent1" w:themeShade="80"/>
                <w:sz w:val="21"/>
                <w:szCs w:val="21"/>
                <w:u w:val="single"/>
              </w:rPr>
              <w:t xml:space="preserve">(20 points au total, </w:t>
            </w:r>
            <w:r>
              <w:rPr>
                <w:i/>
                <w:color w:val="1F4E79" w:themeColor="accent1" w:themeShade="80"/>
                <w:sz w:val="21"/>
                <w:szCs w:val="21"/>
                <w:u w:val="single"/>
              </w:rPr>
              <w:t>4 points pour chaque rapport</w:t>
            </w:r>
            <w:r>
              <w:rPr>
                <w:b/>
                <w:color w:val="1F4E79" w:themeColor="accent1" w:themeShade="80"/>
                <w:sz w:val="21"/>
                <w:szCs w:val="21"/>
                <w:u w:val="single"/>
              </w:rPr>
              <w:t>)</w:t>
            </w:r>
          </w:p>
          <w:p w14:paraId="243EE3AA" w14:textId="08702E70" w:rsidR="00E55BBE" w:rsidRPr="00B644CD" w:rsidRDefault="00E55BBE" w:rsidP="00F40E26">
            <w:pPr>
              <w:pStyle w:val="Paragraphedeliste"/>
              <w:numPr>
                <w:ilvl w:val="0"/>
                <w:numId w:val="6"/>
              </w:numPr>
              <w:spacing w:before="0" w:beforeAutospacing="0" w:after="0" w:afterAutospacing="0"/>
              <w:jc w:val="both"/>
              <w:rPr>
                <w:rFonts w:asciiTheme="minorHAnsi" w:hAnsiTheme="minorHAnsi" w:cs="Arial"/>
                <w:color w:val="000000"/>
                <w:sz w:val="21"/>
                <w:szCs w:val="21"/>
              </w:rPr>
            </w:pPr>
            <w:r>
              <w:rPr>
                <w:rFonts w:asciiTheme="minorHAnsi" w:hAnsiTheme="minorHAnsi"/>
                <w:color w:val="000000"/>
                <w:sz w:val="21"/>
                <w:szCs w:val="21"/>
              </w:rPr>
              <w:t>Un rapport quotidien consolidé concernant les paiements et détaillant tous les paiements décaissés par rapport aux instructions de paiement reçues la veille</w:t>
            </w:r>
            <w:r w:rsidR="00694926">
              <w:rPr>
                <w:rFonts w:asciiTheme="minorHAnsi" w:hAnsiTheme="minorHAnsi"/>
                <w:color w:val="000000"/>
                <w:sz w:val="21"/>
                <w:szCs w:val="21"/>
              </w:rPr>
              <w:t> </w:t>
            </w:r>
            <w:r>
              <w:rPr>
                <w:rFonts w:asciiTheme="minorHAnsi" w:hAnsiTheme="minorHAnsi"/>
                <w:color w:val="000000"/>
                <w:sz w:val="21"/>
                <w:szCs w:val="21"/>
              </w:rPr>
              <w:t>;</w:t>
            </w:r>
          </w:p>
          <w:p w14:paraId="147AC5F3" w14:textId="77777777" w:rsidR="00B17EED" w:rsidRPr="00B644CD" w:rsidRDefault="00E55BBE" w:rsidP="00F40E26">
            <w:pPr>
              <w:pStyle w:val="Paragraphedeliste"/>
              <w:numPr>
                <w:ilvl w:val="0"/>
                <w:numId w:val="6"/>
              </w:numPr>
              <w:spacing w:before="0" w:beforeAutospacing="0" w:after="0" w:afterAutospacing="0"/>
              <w:jc w:val="both"/>
              <w:rPr>
                <w:rFonts w:asciiTheme="minorHAnsi" w:hAnsiTheme="minorHAnsi" w:cs="Arial"/>
                <w:color w:val="000000"/>
                <w:sz w:val="21"/>
                <w:szCs w:val="21"/>
              </w:rPr>
            </w:pPr>
            <w:r>
              <w:rPr>
                <w:rFonts w:asciiTheme="minorHAnsi" w:hAnsiTheme="minorHAnsi"/>
                <w:color w:val="000000"/>
                <w:sz w:val="21"/>
                <w:szCs w:val="21"/>
              </w:rPr>
              <w:t>Un rapport quotidien consolidé concernant les rejets et détaillant tous les paiements rejetés par rapport aux instructions de paiement reçues la veille</w:t>
            </w:r>
          </w:p>
          <w:p w14:paraId="3E90D3C4" w14:textId="1A7498D6" w:rsidR="00B17EED" w:rsidRPr="00B644CD" w:rsidRDefault="000A6637" w:rsidP="00F40E26">
            <w:pPr>
              <w:pStyle w:val="Paragraphedeliste"/>
              <w:numPr>
                <w:ilvl w:val="0"/>
                <w:numId w:val="6"/>
              </w:numPr>
              <w:spacing w:before="0" w:beforeAutospacing="0" w:after="0" w:afterAutospacing="0"/>
              <w:jc w:val="both"/>
              <w:rPr>
                <w:rFonts w:asciiTheme="minorHAnsi" w:hAnsiTheme="minorHAnsi" w:cs="Arial"/>
                <w:color w:val="000000"/>
                <w:sz w:val="21"/>
                <w:szCs w:val="21"/>
              </w:rPr>
            </w:pPr>
            <w:r>
              <w:rPr>
                <w:rFonts w:asciiTheme="minorHAnsi" w:hAnsiTheme="minorHAnsi"/>
                <w:sz w:val="21"/>
                <w:szCs w:val="21"/>
              </w:rPr>
              <w:t>Un accusé de réception de premier niveau indiquant que le fichier transmis par le HCR au prestataire de services financiers a bien été reçu et attend d’être traité</w:t>
            </w:r>
            <w:r w:rsidR="00694926">
              <w:rPr>
                <w:rFonts w:asciiTheme="minorHAnsi" w:hAnsiTheme="minorHAnsi"/>
                <w:sz w:val="21"/>
                <w:szCs w:val="21"/>
              </w:rPr>
              <w:t> </w:t>
            </w:r>
            <w:r>
              <w:rPr>
                <w:rFonts w:asciiTheme="minorHAnsi" w:hAnsiTheme="minorHAnsi"/>
                <w:sz w:val="21"/>
                <w:szCs w:val="21"/>
              </w:rPr>
              <w:t>;</w:t>
            </w:r>
          </w:p>
          <w:p w14:paraId="5D612D31" w14:textId="72942502" w:rsidR="00B17EED" w:rsidRPr="00B644CD" w:rsidRDefault="000A6637" w:rsidP="00F40E26">
            <w:pPr>
              <w:pStyle w:val="Paragraphedeliste"/>
              <w:numPr>
                <w:ilvl w:val="0"/>
                <w:numId w:val="6"/>
              </w:numPr>
              <w:spacing w:before="0" w:beforeAutospacing="0" w:after="0" w:afterAutospacing="0"/>
              <w:jc w:val="both"/>
              <w:rPr>
                <w:rFonts w:asciiTheme="minorHAnsi" w:hAnsiTheme="minorHAnsi" w:cs="Arial"/>
                <w:color w:val="000000"/>
                <w:sz w:val="21"/>
                <w:szCs w:val="21"/>
              </w:rPr>
            </w:pPr>
            <w:r>
              <w:rPr>
                <w:rFonts w:asciiTheme="minorHAnsi" w:hAnsiTheme="minorHAnsi"/>
                <w:sz w:val="21"/>
                <w:szCs w:val="21"/>
              </w:rPr>
              <w:t>Un accusé de réception de second niveau : Statut des transactions du fichier sortant : pour chaque transaction figurant dans le fichier sortant, le prestataire de services financiers doit fournir une réponse sous la forme «</w:t>
            </w:r>
            <w:r w:rsidR="00694926">
              <w:rPr>
                <w:rFonts w:asciiTheme="minorHAnsi" w:hAnsiTheme="minorHAnsi"/>
                <w:sz w:val="21"/>
                <w:szCs w:val="21"/>
              </w:rPr>
              <w:t> </w:t>
            </w:r>
            <w:r>
              <w:rPr>
                <w:rFonts w:asciiTheme="minorHAnsi" w:hAnsiTheme="minorHAnsi"/>
                <w:sz w:val="21"/>
                <w:szCs w:val="21"/>
              </w:rPr>
              <w:t>Transaction réussie</w:t>
            </w:r>
            <w:r w:rsidR="00694926">
              <w:rPr>
                <w:rFonts w:asciiTheme="minorHAnsi" w:hAnsiTheme="minorHAnsi"/>
                <w:sz w:val="21"/>
                <w:szCs w:val="21"/>
              </w:rPr>
              <w:t> </w:t>
            </w:r>
            <w:r>
              <w:rPr>
                <w:rFonts w:asciiTheme="minorHAnsi" w:hAnsiTheme="minorHAnsi"/>
                <w:sz w:val="21"/>
                <w:szCs w:val="21"/>
              </w:rPr>
              <w:t>» ou «</w:t>
            </w:r>
            <w:r w:rsidR="00694926">
              <w:rPr>
                <w:rFonts w:asciiTheme="minorHAnsi" w:hAnsiTheme="minorHAnsi"/>
                <w:sz w:val="21"/>
                <w:szCs w:val="21"/>
              </w:rPr>
              <w:t> </w:t>
            </w:r>
            <w:r>
              <w:rPr>
                <w:rFonts w:asciiTheme="minorHAnsi" w:hAnsiTheme="minorHAnsi"/>
                <w:sz w:val="21"/>
                <w:szCs w:val="21"/>
              </w:rPr>
              <w:t>Transaction échouée</w:t>
            </w:r>
            <w:r w:rsidR="00694926">
              <w:rPr>
                <w:rFonts w:asciiTheme="minorHAnsi" w:hAnsiTheme="minorHAnsi"/>
                <w:sz w:val="21"/>
                <w:szCs w:val="21"/>
              </w:rPr>
              <w:t> </w:t>
            </w:r>
            <w:r>
              <w:rPr>
                <w:rFonts w:asciiTheme="minorHAnsi" w:hAnsiTheme="minorHAnsi"/>
                <w:sz w:val="21"/>
                <w:szCs w:val="21"/>
              </w:rPr>
              <w:t>» dans un délai de 12 heures. La réponse doit être fournie au HCR au format prédéfini.</w:t>
            </w:r>
          </w:p>
          <w:p w14:paraId="4D4EDB25" w14:textId="3373C6E0" w:rsidR="000A6637" w:rsidRPr="00687A69" w:rsidRDefault="000A6637" w:rsidP="00F40E26">
            <w:pPr>
              <w:pStyle w:val="Paragraphedeliste"/>
              <w:numPr>
                <w:ilvl w:val="0"/>
                <w:numId w:val="6"/>
              </w:numPr>
              <w:spacing w:before="0" w:beforeAutospacing="0" w:after="0" w:afterAutospacing="0"/>
              <w:jc w:val="both"/>
              <w:rPr>
                <w:rFonts w:asciiTheme="minorHAnsi" w:hAnsiTheme="minorHAnsi" w:cs="Arial"/>
                <w:color w:val="000000"/>
                <w:sz w:val="21"/>
                <w:szCs w:val="21"/>
              </w:rPr>
            </w:pPr>
            <w:r>
              <w:rPr>
                <w:rFonts w:asciiTheme="minorHAnsi" w:hAnsiTheme="minorHAnsi"/>
                <w:sz w:val="21"/>
                <w:szCs w:val="21"/>
              </w:rPr>
              <w:t>Comptes-rendus des transactions montrant le montant total et le nombre de transactions pour chaque statut de paiement lors d’une période de paiement donnée. Le rapport doit être crypté et envoyé au format XML.</w:t>
            </w:r>
          </w:p>
        </w:tc>
      </w:tr>
      <w:tr w:rsidR="00E55BBE" w:rsidRPr="00687A69" w14:paraId="4359E095" w14:textId="77777777" w:rsidTr="00DB08F0">
        <w:trPr>
          <w:trHeight w:val="709"/>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F1F0043" w14:textId="77777777" w:rsidR="00E55BBE" w:rsidRPr="00687A69" w:rsidRDefault="00E55BBE" w:rsidP="00043A2B">
            <w:pPr>
              <w:spacing w:before="60" w:after="60" w:line="240" w:lineRule="auto"/>
              <w:contextualSpacing/>
              <w:rPr>
                <w:rFonts w:eastAsia="Times New Roman" w:cs="Arial"/>
                <w:sz w:val="21"/>
                <w:szCs w:val="21"/>
                <w:lang w:eastAsia="en-GB"/>
              </w:rPr>
            </w:pPr>
          </w:p>
        </w:tc>
      </w:tr>
      <w:tr w:rsidR="00DF6A01" w:rsidRPr="00687A69" w14:paraId="6A446047"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DEEAF6" w:themeFill="accent1" w:themeFillTint="33"/>
            <w:tcMar>
              <w:top w:w="0" w:type="dxa"/>
              <w:left w:w="108" w:type="dxa"/>
              <w:bottom w:w="0" w:type="dxa"/>
              <w:right w:w="108" w:type="dxa"/>
            </w:tcMar>
            <w:vAlign w:val="center"/>
          </w:tcPr>
          <w:p w14:paraId="62EE47C6" w14:textId="12ABC189" w:rsidR="00DF6A01" w:rsidRPr="00687A69" w:rsidRDefault="00DF6A01" w:rsidP="004B0CAF">
            <w:pPr>
              <w:spacing w:before="60" w:after="60" w:line="240" w:lineRule="auto"/>
              <w:contextualSpacing/>
              <w:rPr>
                <w:rFonts w:eastAsia="Times New Roman" w:cs="Arial"/>
                <w:sz w:val="21"/>
                <w:szCs w:val="21"/>
              </w:rPr>
            </w:pPr>
            <w:r>
              <w:rPr>
                <w:b/>
                <w:sz w:val="21"/>
                <w:szCs w:val="21"/>
              </w:rPr>
              <w:t>8.  Indicateurs fondamentaux de performance proposés</w:t>
            </w:r>
            <w:r>
              <w:rPr>
                <w:sz w:val="21"/>
                <w:szCs w:val="21"/>
              </w:rPr>
              <w:t xml:space="preserve"> </w:t>
            </w:r>
            <w:r>
              <w:rPr>
                <w:b/>
                <w:color w:val="1F4E79" w:themeColor="accent1" w:themeShade="80"/>
                <w:sz w:val="21"/>
                <w:szCs w:val="21"/>
              </w:rPr>
              <w:t>(</w:t>
            </w:r>
            <w:r>
              <w:rPr>
                <w:b/>
                <w:color w:val="1F4E79" w:themeColor="accent1" w:themeShade="80"/>
                <w:sz w:val="21"/>
                <w:szCs w:val="21"/>
                <w:u w:val="single"/>
              </w:rPr>
              <w:t>50 points au total</w:t>
            </w:r>
            <w:r>
              <w:rPr>
                <w:b/>
                <w:color w:val="1F4E79" w:themeColor="accent1" w:themeShade="80"/>
                <w:sz w:val="21"/>
                <w:szCs w:val="21"/>
              </w:rPr>
              <w:t xml:space="preserve">, </w:t>
            </w:r>
            <w:r>
              <w:rPr>
                <w:i/>
                <w:color w:val="1F4E79" w:themeColor="accent1" w:themeShade="80"/>
                <w:sz w:val="21"/>
                <w:szCs w:val="21"/>
              </w:rPr>
              <w:t>barème détaillé ci-dessous</w:t>
            </w:r>
            <w:r>
              <w:rPr>
                <w:b/>
                <w:color w:val="1F4E79" w:themeColor="accent1" w:themeShade="80"/>
                <w:sz w:val="21"/>
                <w:szCs w:val="21"/>
              </w:rPr>
              <w:t xml:space="preserve">) </w:t>
            </w:r>
          </w:p>
        </w:tc>
      </w:tr>
      <w:tr w:rsidR="00DF6A01" w:rsidRPr="00687A69" w14:paraId="7C0407EA" w14:textId="77777777" w:rsidTr="00846E07">
        <w:trPr>
          <w:trHeight w:val="1848"/>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1D98C159" w14:textId="7FA9790F" w:rsidR="00DF6A01" w:rsidRPr="00687A69" w:rsidRDefault="00DF6A01" w:rsidP="006828F6">
            <w:pPr>
              <w:spacing w:before="60" w:after="0" w:line="240" w:lineRule="auto"/>
              <w:contextualSpacing/>
              <w:rPr>
                <w:rFonts w:eastAsia="Times New Roman" w:cs="Arial"/>
                <w:b/>
                <w:color w:val="1F4E79" w:themeColor="accent1" w:themeShade="80"/>
                <w:sz w:val="21"/>
                <w:szCs w:val="21"/>
              </w:rPr>
            </w:pPr>
            <w:r>
              <w:rPr>
                <w:b/>
                <w:sz w:val="21"/>
                <w:szCs w:val="21"/>
              </w:rPr>
              <w:t>8a)</w:t>
            </w:r>
            <w:r>
              <w:rPr>
                <w:sz w:val="21"/>
                <w:szCs w:val="21"/>
              </w:rPr>
              <w:t xml:space="preserve"> Décrire la capacité à atteindre les indicateurs fondamentaux de performance et à fournir un rapport régulier à leur sujet. </w:t>
            </w:r>
            <w:r>
              <w:rPr>
                <w:b/>
                <w:color w:val="1F4E79" w:themeColor="accent1" w:themeShade="80"/>
                <w:sz w:val="21"/>
                <w:szCs w:val="21"/>
              </w:rPr>
              <w:t>(</w:t>
            </w:r>
            <w:r>
              <w:rPr>
                <w:b/>
                <w:color w:val="1F4E79" w:themeColor="accent1" w:themeShade="80"/>
                <w:sz w:val="21"/>
                <w:szCs w:val="21"/>
                <w:u w:val="single"/>
              </w:rPr>
              <w:t xml:space="preserve">20 points au total, </w:t>
            </w:r>
            <w:r>
              <w:rPr>
                <w:i/>
                <w:color w:val="1F4E79" w:themeColor="accent1" w:themeShade="80"/>
                <w:sz w:val="21"/>
                <w:szCs w:val="21"/>
                <w:u w:val="single"/>
              </w:rPr>
              <w:t>barème détaillé pour chaque rapport ci-dessous</w:t>
            </w:r>
            <w:r>
              <w:rPr>
                <w:b/>
                <w:color w:val="1F4E79" w:themeColor="accent1" w:themeShade="80"/>
                <w:sz w:val="21"/>
                <w:szCs w:val="21"/>
                <w:u w:val="single"/>
              </w:rPr>
              <w:t>)</w:t>
            </w:r>
            <w:r>
              <w:rPr>
                <w:b/>
                <w:color w:val="1F4E79" w:themeColor="accent1" w:themeShade="80"/>
                <w:sz w:val="21"/>
                <w:szCs w:val="21"/>
              </w:rPr>
              <w:t xml:space="preserve"> </w:t>
            </w:r>
          </w:p>
          <w:p w14:paraId="563AE427" w14:textId="46A5DD8E" w:rsidR="006828F6" w:rsidRPr="00687A69" w:rsidRDefault="00D50AD5" w:rsidP="00F40E26">
            <w:pPr>
              <w:pStyle w:val="Paragraphedeliste"/>
              <w:numPr>
                <w:ilvl w:val="0"/>
                <w:numId w:val="7"/>
              </w:numPr>
              <w:spacing w:before="0" w:beforeAutospacing="0" w:after="0"/>
              <w:ind w:left="733" w:hanging="336"/>
              <w:jc w:val="both"/>
              <w:rPr>
                <w:rFonts w:asciiTheme="minorHAnsi" w:hAnsiTheme="minorHAnsi" w:cs="Arial"/>
                <w:color w:val="000000"/>
                <w:sz w:val="21"/>
                <w:szCs w:val="21"/>
              </w:rPr>
            </w:pPr>
            <w:r>
              <w:rPr>
                <w:rFonts w:asciiTheme="minorHAnsi" w:hAnsiTheme="minorHAnsi"/>
                <w:color w:val="000000"/>
                <w:sz w:val="21"/>
                <w:szCs w:val="21"/>
              </w:rPr>
              <w:t xml:space="preserve">Un délai maximal de 48 heures entre le transfert par le HCR vers le prestataire de services financiers, et la disponibilité des fonds pour les bénéficiaires </w:t>
            </w:r>
            <w:r>
              <w:rPr>
                <w:rFonts w:asciiTheme="minorHAnsi" w:hAnsiTheme="minorHAnsi"/>
                <w:i/>
                <w:color w:val="1F4E79" w:themeColor="accent1" w:themeShade="80"/>
                <w:sz w:val="18"/>
                <w:szCs w:val="18"/>
              </w:rPr>
              <w:t>(5 points)</w:t>
            </w:r>
          </w:p>
          <w:p w14:paraId="2C4F7EBE" w14:textId="3073C378" w:rsidR="006828F6" w:rsidRPr="00687A69" w:rsidRDefault="006828F6" w:rsidP="00F40E26">
            <w:pPr>
              <w:pStyle w:val="Paragraphedeliste"/>
              <w:numPr>
                <w:ilvl w:val="0"/>
                <w:numId w:val="7"/>
              </w:numPr>
              <w:spacing w:after="0"/>
              <w:ind w:left="733" w:hanging="336"/>
              <w:jc w:val="both"/>
              <w:rPr>
                <w:rFonts w:asciiTheme="minorHAnsi" w:hAnsiTheme="minorHAnsi" w:cs="Arial"/>
                <w:color w:val="000000"/>
                <w:sz w:val="21"/>
                <w:szCs w:val="21"/>
              </w:rPr>
            </w:pPr>
            <w:r>
              <w:rPr>
                <w:rFonts w:asciiTheme="minorHAnsi" w:hAnsiTheme="minorHAnsi"/>
                <w:color w:val="000000"/>
                <w:sz w:val="21"/>
                <w:szCs w:val="21"/>
              </w:rPr>
              <w:t xml:space="preserve">Le délai d’attente maximum au cours d’un appel à la ligne d’assistance téléphonique du service client (le prestataire de services financiers doit préciser le nombre de minutes) </w:t>
            </w:r>
            <w:r>
              <w:rPr>
                <w:rFonts w:ascii="Calibri" w:hAnsi="Calibri"/>
                <w:i/>
                <w:color w:val="1F4E79" w:themeColor="accent1" w:themeShade="80"/>
                <w:sz w:val="18"/>
                <w:szCs w:val="18"/>
              </w:rPr>
              <w:t>(3 points)</w:t>
            </w:r>
          </w:p>
          <w:p w14:paraId="00BDF8F2" w14:textId="08178C82" w:rsidR="006828F6" w:rsidRPr="00B644CD" w:rsidRDefault="00D50AD5" w:rsidP="00F40E26">
            <w:pPr>
              <w:pStyle w:val="Paragraphedeliste"/>
              <w:numPr>
                <w:ilvl w:val="0"/>
                <w:numId w:val="7"/>
              </w:numPr>
              <w:spacing w:after="0"/>
              <w:ind w:left="733" w:hanging="336"/>
              <w:jc w:val="both"/>
              <w:rPr>
                <w:rFonts w:asciiTheme="minorHAnsi" w:hAnsiTheme="minorHAnsi" w:cs="Arial"/>
                <w:color w:val="000000"/>
                <w:sz w:val="21"/>
                <w:szCs w:val="21"/>
              </w:rPr>
            </w:pPr>
            <w:r>
              <w:rPr>
                <w:rFonts w:asciiTheme="minorHAnsi" w:hAnsiTheme="minorHAnsi"/>
                <w:color w:val="000000"/>
                <w:sz w:val="21"/>
                <w:szCs w:val="21"/>
              </w:rPr>
              <w:t xml:space="preserve">L’annulation immédiate d’un moyen de paiement ou de retrait après la demande par le HCR ou par le bénéficiaire, en cas de perte, de vol ou autre </w:t>
            </w:r>
            <w:r>
              <w:rPr>
                <w:rFonts w:asciiTheme="minorHAnsi" w:hAnsiTheme="minorHAnsi"/>
                <w:i/>
                <w:color w:val="1F4E79" w:themeColor="accent1" w:themeShade="80"/>
                <w:sz w:val="18"/>
                <w:szCs w:val="18"/>
              </w:rPr>
              <w:t>(3 points)</w:t>
            </w:r>
          </w:p>
          <w:p w14:paraId="590D40EF" w14:textId="0A760E14" w:rsidR="006828F6" w:rsidRPr="007D791E" w:rsidRDefault="002B4BB6" w:rsidP="00F40E26">
            <w:pPr>
              <w:pStyle w:val="Paragraphedeliste"/>
              <w:numPr>
                <w:ilvl w:val="0"/>
                <w:numId w:val="7"/>
              </w:numPr>
              <w:spacing w:after="0" w:afterAutospacing="0"/>
              <w:ind w:left="733" w:hanging="336"/>
              <w:jc w:val="both"/>
              <w:rPr>
                <w:rFonts w:asciiTheme="minorHAnsi" w:eastAsiaTheme="minorHAnsi" w:hAnsiTheme="minorHAnsi" w:cs="Arial"/>
                <w:sz w:val="21"/>
                <w:szCs w:val="21"/>
              </w:rPr>
            </w:pPr>
            <w:r>
              <w:rPr>
                <w:rFonts w:asciiTheme="minorHAnsi" w:hAnsiTheme="minorHAnsi"/>
                <w:color w:val="C00000"/>
                <w:sz w:val="21"/>
                <w:szCs w:val="21"/>
              </w:rPr>
              <w:t xml:space="preserve">98 % </w:t>
            </w:r>
            <w:r>
              <w:rPr>
                <w:rFonts w:asciiTheme="minorHAnsi" w:hAnsiTheme="minorHAnsi"/>
                <w:sz w:val="21"/>
                <w:szCs w:val="21"/>
              </w:rPr>
              <w:t xml:space="preserve">des problèmes de service client traités et résolus </w:t>
            </w:r>
            <w:r>
              <w:rPr>
                <w:rFonts w:ascii="Calibri" w:hAnsi="Calibri"/>
                <w:i/>
                <w:color w:val="1F4E79" w:themeColor="accent1" w:themeShade="80"/>
                <w:sz w:val="18"/>
                <w:szCs w:val="18"/>
              </w:rPr>
              <w:t>(3 points)</w:t>
            </w:r>
          </w:p>
          <w:p w14:paraId="06008358" w14:textId="6E06C73E" w:rsidR="007D791E" w:rsidRPr="009D5FD2" w:rsidRDefault="009D5FD2" w:rsidP="007D791E">
            <w:pPr>
              <w:pStyle w:val="Paragraphedeliste"/>
              <w:numPr>
                <w:ilvl w:val="0"/>
                <w:numId w:val="7"/>
              </w:numPr>
              <w:spacing w:after="0" w:afterAutospacing="0"/>
              <w:ind w:left="733" w:hanging="336"/>
              <w:jc w:val="both"/>
              <w:rPr>
                <w:rFonts w:asciiTheme="minorHAnsi" w:eastAsiaTheme="minorHAnsi" w:hAnsiTheme="minorHAnsi" w:cs="Arial"/>
                <w:sz w:val="21"/>
                <w:szCs w:val="21"/>
              </w:rPr>
            </w:pPr>
            <w:r>
              <w:rPr>
                <w:rFonts w:asciiTheme="minorHAnsi" w:hAnsiTheme="minorHAnsi"/>
                <w:color w:val="C00000"/>
                <w:sz w:val="21"/>
                <w:szCs w:val="21"/>
              </w:rPr>
              <w:t xml:space="preserve">98 % </w:t>
            </w:r>
            <w:r>
              <w:rPr>
                <w:rFonts w:asciiTheme="minorHAnsi" w:hAnsiTheme="minorHAnsi"/>
                <w:sz w:val="21"/>
                <w:szCs w:val="21"/>
              </w:rPr>
              <w:t xml:space="preserve">de la population ayant accès aux services décrits en Annexe A </w:t>
            </w:r>
            <w:r>
              <w:rPr>
                <w:rFonts w:ascii="Calibri" w:hAnsi="Calibri"/>
                <w:i/>
                <w:color w:val="1F4E79" w:themeColor="accent1" w:themeShade="80"/>
                <w:sz w:val="18"/>
                <w:szCs w:val="18"/>
              </w:rPr>
              <w:t>(3 points)</w:t>
            </w:r>
          </w:p>
          <w:p w14:paraId="5C2E6C77" w14:textId="15167549" w:rsidR="00846E07" w:rsidRPr="00846E07" w:rsidRDefault="009D5FD2" w:rsidP="00584F09">
            <w:pPr>
              <w:pStyle w:val="Paragraphedeliste"/>
              <w:numPr>
                <w:ilvl w:val="0"/>
                <w:numId w:val="7"/>
              </w:numPr>
              <w:spacing w:after="0" w:afterAutospacing="0"/>
              <w:ind w:left="732" w:hanging="335"/>
              <w:jc w:val="both"/>
              <w:rPr>
                <w:rFonts w:asciiTheme="minorHAnsi" w:eastAsiaTheme="minorHAnsi" w:hAnsiTheme="minorHAnsi" w:cs="Arial"/>
                <w:sz w:val="21"/>
                <w:szCs w:val="21"/>
              </w:rPr>
            </w:pPr>
            <w:r>
              <w:rPr>
                <w:rFonts w:asciiTheme="minorHAnsi" w:hAnsiTheme="minorHAnsi"/>
                <w:color w:val="C00000"/>
                <w:sz w:val="21"/>
                <w:szCs w:val="21"/>
              </w:rPr>
              <w:t xml:space="preserve">98 % </w:t>
            </w:r>
            <w:r>
              <w:rPr>
                <w:rFonts w:asciiTheme="minorHAnsi" w:hAnsiTheme="minorHAnsi"/>
                <w:sz w:val="21"/>
                <w:szCs w:val="21"/>
              </w:rPr>
              <w:t xml:space="preserve">des rapports de distribution, rapports de confirmation, rapports de rapprochement et remboursements sont précis et reçus en temps opportun </w:t>
            </w:r>
            <w:r>
              <w:rPr>
                <w:rFonts w:ascii="Calibri" w:hAnsi="Calibri"/>
                <w:i/>
                <w:color w:val="1F4E79" w:themeColor="accent1" w:themeShade="80"/>
                <w:sz w:val="18"/>
                <w:szCs w:val="18"/>
              </w:rPr>
              <w:t>(3 points)</w:t>
            </w:r>
          </w:p>
        </w:tc>
      </w:tr>
      <w:tr w:rsidR="00DF6A01" w:rsidRPr="00687A69" w14:paraId="5F8460E3"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ADF6315" w14:textId="77777777" w:rsidR="00DF6A01" w:rsidRPr="00687A69" w:rsidRDefault="00DF6A01" w:rsidP="00043A2B">
            <w:pPr>
              <w:spacing w:before="60" w:after="60" w:line="240" w:lineRule="auto"/>
              <w:contextualSpacing/>
              <w:rPr>
                <w:rFonts w:eastAsia="Times New Roman" w:cs="Arial"/>
                <w:sz w:val="21"/>
                <w:szCs w:val="21"/>
                <w:lang w:eastAsia="en-GB"/>
              </w:rPr>
            </w:pPr>
          </w:p>
          <w:p w14:paraId="1A281C90" w14:textId="77777777" w:rsidR="006828F6" w:rsidRDefault="006828F6" w:rsidP="00043A2B">
            <w:pPr>
              <w:spacing w:before="60" w:after="60" w:line="240" w:lineRule="auto"/>
              <w:contextualSpacing/>
              <w:rPr>
                <w:rFonts w:eastAsia="Times New Roman" w:cs="Arial"/>
                <w:sz w:val="21"/>
                <w:szCs w:val="21"/>
                <w:lang w:eastAsia="en-GB"/>
              </w:rPr>
            </w:pPr>
          </w:p>
          <w:p w14:paraId="2DC7A7FD" w14:textId="77777777" w:rsidR="002415E5" w:rsidRPr="00687A69" w:rsidRDefault="002415E5" w:rsidP="00043A2B">
            <w:pPr>
              <w:spacing w:before="60" w:after="60" w:line="240" w:lineRule="auto"/>
              <w:contextualSpacing/>
              <w:rPr>
                <w:rFonts w:eastAsia="Times New Roman" w:cs="Arial"/>
                <w:sz w:val="21"/>
                <w:szCs w:val="21"/>
                <w:lang w:eastAsia="en-GB"/>
              </w:rPr>
            </w:pPr>
          </w:p>
        </w:tc>
      </w:tr>
      <w:tr w:rsidR="00846E07" w:rsidRPr="00687A69" w14:paraId="668C7D8D" w14:textId="77777777" w:rsidTr="004531CE">
        <w:trPr>
          <w:trHeight w:val="586"/>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4CA7188A" w14:textId="4D37AE81" w:rsidR="00846E07" w:rsidRPr="00846E07" w:rsidRDefault="00846E07" w:rsidP="00846E07">
            <w:pPr>
              <w:spacing w:after="0"/>
              <w:jc w:val="both"/>
              <w:rPr>
                <w:rFonts w:eastAsia="Times New Roman" w:cs="Arial"/>
                <w:b/>
                <w:color w:val="1F4E79" w:themeColor="accent1" w:themeShade="80"/>
                <w:sz w:val="21"/>
                <w:szCs w:val="21"/>
                <w:u w:val="single"/>
              </w:rPr>
            </w:pPr>
            <w:r>
              <w:rPr>
                <w:b/>
                <w:sz w:val="21"/>
                <w:szCs w:val="21"/>
              </w:rPr>
              <w:t>8b)</w:t>
            </w:r>
            <w:r>
              <w:rPr>
                <w:sz w:val="21"/>
                <w:szCs w:val="21"/>
              </w:rPr>
              <w:t xml:space="preserve"> Pour les systèmes automatisés ou ceux intégrés au système d’ERP, décrire la capacité à respecter les indicateurs fondamentaux de performance ci-dessous et à communiquer des rapports réguliers à leur sujet. Préciser également les modalités d’établissement des rapports (courriel ou SMS) qui afficheront un horodatage pour les transactions énumérées ci-dessous. </w:t>
            </w:r>
            <w:r>
              <w:rPr>
                <w:b/>
                <w:color w:val="1F4E79" w:themeColor="accent1" w:themeShade="80"/>
                <w:sz w:val="21"/>
                <w:szCs w:val="21"/>
              </w:rPr>
              <w:t>(</w:t>
            </w:r>
            <w:r>
              <w:rPr>
                <w:b/>
                <w:color w:val="1F4E79" w:themeColor="accent1" w:themeShade="80"/>
                <w:sz w:val="21"/>
                <w:szCs w:val="21"/>
                <w:u w:val="single"/>
              </w:rPr>
              <w:t xml:space="preserve">10 points au total, </w:t>
            </w:r>
            <w:r>
              <w:rPr>
                <w:i/>
                <w:color w:val="1F4E79" w:themeColor="accent1" w:themeShade="80"/>
                <w:sz w:val="21"/>
                <w:szCs w:val="21"/>
                <w:u w:val="single"/>
              </w:rPr>
              <w:t>barème détaillé pour chaque rapport ci-dessous</w:t>
            </w:r>
            <w:r>
              <w:rPr>
                <w:b/>
                <w:color w:val="1F4E79" w:themeColor="accent1" w:themeShade="80"/>
                <w:sz w:val="21"/>
                <w:szCs w:val="21"/>
                <w:u w:val="single"/>
              </w:rPr>
              <w:t>)</w:t>
            </w:r>
          </w:p>
          <w:p w14:paraId="5F25DC43" w14:textId="622C5C4A" w:rsidR="00846E07" w:rsidRPr="00793E0E" w:rsidRDefault="00846E07" w:rsidP="00846E07">
            <w:pPr>
              <w:pStyle w:val="Paragraphedeliste"/>
              <w:numPr>
                <w:ilvl w:val="0"/>
                <w:numId w:val="14"/>
              </w:numPr>
              <w:spacing w:before="0" w:beforeAutospacing="0" w:after="0"/>
              <w:jc w:val="both"/>
              <w:rPr>
                <w:rFonts w:asciiTheme="minorHAnsi" w:hAnsiTheme="minorHAnsi" w:cs="Arial"/>
                <w:sz w:val="21"/>
                <w:szCs w:val="21"/>
              </w:rPr>
            </w:pPr>
            <w:r>
              <w:rPr>
                <w:rFonts w:asciiTheme="minorHAnsi" w:hAnsiTheme="minorHAnsi"/>
                <w:sz w:val="21"/>
                <w:szCs w:val="21"/>
              </w:rPr>
              <w:t xml:space="preserve">Le temps nécessaire pour traiter </w:t>
            </w:r>
            <w:r>
              <w:rPr>
                <w:rFonts w:asciiTheme="minorHAnsi" w:hAnsiTheme="minorHAnsi"/>
                <w:color w:val="C00000"/>
                <w:sz w:val="21"/>
                <w:szCs w:val="21"/>
              </w:rPr>
              <w:t xml:space="preserve">15 000 </w:t>
            </w:r>
            <w:r>
              <w:rPr>
                <w:rFonts w:asciiTheme="minorHAnsi" w:hAnsiTheme="minorHAnsi"/>
                <w:sz w:val="21"/>
                <w:szCs w:val="21"/>
              </w:rPr>
              <w:t xml:space="preserve">instructions de paiement dans un fichier transmis par le protocole Host to Host ou SFTP et/ou le temps nécessaire pour traiter 15 000 instructions de paiement individuellement via un appel API (le prestataire de services financiers doit préciser le nombre de minutes) </w:t>
            </w:r>
            <w:r>
              <w:rPr>
                <w:rFonts w:ascii="Calibri" w:hAnsi="Calibri"/>
                <w:i/>
                <w:color w:val="1F4E79" w:themeColor="accent1" w:themeShade="80"/>
                <w:sz w:val="18"/>
                <w:szCs w:val="18"/>
              </w:rPr>
              <w:t>(4 points)</w:t>
            </w:r>
          </w:p>
          <w:p w14:paraId="52DEC58E" w14:textId="0FEFAE74" w:rsidR="00846E07" w:rsidRPr="00793E0E" w:rsidRDefault="00846E07" w:rsidP="00846E07">
            <w:pPr>
              <w:pStyle w:val="Paragraphedeliste"/>
              <w:numPr>
                <w:ilvl w:val="0"/>
                <w:numId w:val="14"/>
              </w:numPr>
              <w:spacing w:after="0"/>
              <w:jc w:val="both"/>
              <w:rPr>
                <w:rFonts w:asciiTheme="minorHAnsi" w:hAnsiTheme="minorHAnsi" w:cs="Arial"/>
                <w:sz w:val="21"/>
                <w:szCs w:val="21"/>
              </w:rPr>
            </w:pPr>
            <w:r>
              <w:rPr>
                <w:rFonts w:asciiTheme="minorHAnsi" w:hAnsiTheme="minorHAnsi"/>
                <w:color w:val="000000"/>
                <w:sz w:val="21"/>
                <w:szCs w:val="21"/>
              </w:rPr>
              <w:t xml:space="preserve">Le délai de traitement du premier accusé de réception doit être de cinq minutes à compter de l’envoi par le HCR </w:t>
            </w:r>
            <w:r>
              <w:rPr>
                <w:rFonts w:ascii="Calibri" w:hAnsi="Calibri"/>
                <w:i/>
                <w:color w:val="1F4E79" w:themeColor="accent1" w:themeShade="80"/>
                <w:sz w:val="18"/>
                <w:szCs w:val="18"/>
              </w:rPr>
              <w:t>(3 points)</w:t>
            </w:r>
          </w:p>
          <w:p w14:paraId="3CC4D782" w14:textId="79044A57" w:rsidR="00846E07" w:rsidRPr="00846E07" w:rsidRDefault="00846E07" w:rsidP="006F6CE2">
            <w:pPr>
              <w:pStyle w:val="Paragraphedeliste"/>
              <w:numPr>
                <w:ilvl w:val="0"/>
                <w:numId w:val="14"/>
              </w:numPr>
              <w:spacing w:after="0" w:afterAutospacing="0"/>
              <w:ind w:left="714" w:hanging="357"/>
              <w:jc w:val="both"/>
              <w:rPr>
                <w:rFonts w:cs="Arial"/>
                <w:sz w:val="21"/>
                <w:szCs w:val="21"/>
              </w:rPr>
            </w:pPr>
            <w:r>
              <w:rPr>
                <w:rFonts w:asciiTheme="minorHAnsi" w:hAnsiTheme="minorHAnsi"/>
                <w:color w:val="000000"/>
                <w:sz w:val="21"/>
                <w:szCs w:val="21"/>
              </w:rPr>
              <w:t xml:space="preserve">Le délai de traitement du deuxième accusé de réception qui indique le statut d’achèvement du paiement </w:t>
            </w:r>
            <w:r>
              <w:rPr>
                <w:rFonts w:ascii="Calibri" w:hAnsi="Calibri"/>
                <w:i/>
                <w:color w:val="1F4E79" w:themeColor="accent1" w:themeShade="80"/>
                <w:sz w:val="18"/>
                <w:szCs w:val="18"/>
              </w:rPr>
              <w:t>(3 points)</w:t>
            </w:r>
          </w:p>
        </w:tc>
      </w:tr>
      <w:tr w:rsidR="00846E07" w:rsidRPr="00687A69" w14:paraId="44960F5F"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C78C469" w14:textId="77777777" w:rsidR="00846E07" w:rsidRDefault="00846E07" w:rsidP="00846E07">
            <w:pPr>
              <w:spacing w:after="0"/>
              <w:jc w:val="both"/>
              <w:rPr>
                <w:rFonts w:cs="Arial"/>
                <w:sz w:val="21"/>
                <w:szCs w:val="21"/>
              </w:rPr>
            </w:pPr>
          </w:p>
          <w:p w14:paraId="2013D1B4" w14:textId="77777777" w:rsidR="00793E0E" w:rsidRDefault="00793E0E" w:rsidP="00846E07">
            <w:pPr>
              <w:spacing w:after="0"/>
              <w:jc w:val="both"/>
              <w:rPr>
                <w:rFonts w:cs="Arial"/>
                <w:sz w:val="21"/>
                <w:szCs w:val="21"/>
              </w:rPr>
            </w:pPr>
          </w:p>
          <w:p w14:paraId="525C9391" w14:textId="77777777" w:rsidR="00793E0E" w:rsidRDefault="00793E0E" w:rsidP="00846E07">
            <w:pPr>
              <w:spacing w:after="0"/>
              <w:jc w:val="both"/>
              <w:rPr>
                <w:rFonts w:cs="Arial"/>
                <w:sz w:val="21"/>
                <w:szCs w:val="21"/>
              </w:rPr>
            </w:pPr>
          </w:p>
        </w:tc>
      </w:tr>
      <w:tr w:rsidR="00DF6A01" w:rsidRPr="00687A69" w14:paraId="4AF0BBDA"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485C558" w14:textId="3F3FEE19" w:rsidR="00DF6A01" w:rsidRPr="00687A69" w:rsidRDefault="00887BB9" w:rsidP="009E1E2E">
            <w:pPr>
              <w:spacing w:before="60" w:after="60" w:line="240" w:lineRule="auto"/>
              <w:contextualSpacing/>
              <w:rPr>
                <w:rFonts w:eastAsia="Times New Roman" w:cs="Arial"/>
                <w:sz w:val="21"/>
                <w:szCs w:val="21"/>
              </w:rPr>
            </w:pPr>
            <w:r>
              <w:rPr>
                <w:b/>
                <w:sz w:val="21"/>
                <w:szCs w:val="21"/>
              </w:rPr>
              <w:t>8c)</w:t>
            </w:r>
            <w:r>
              <w:rPr>
                <w:sz w:val="21"/>
                <w:szCs w:val="21"/>
              </w:rPr>
              <w:t xml:space="preserve"> Fournir des informations détaillées sur les indicateurs fondamentaux de performance supplémentaires que le prestataire de services financiers pourra atteindre et décrire dans des rapports réguliers. </w:t>
            </w:r>
            <w:r>
              <w:rPr>
                <w:b/>
                <w:color w:val="1F4E79" w:themeColor="accent1" w:themeShade="80"/>
                <w:sz w:val="21"/>
                <w:szCs w:val="21"/>
              </w:rPr>
              <w:t>(</w:t>
            </w:r>
            <w:r>
              <w:rPr>
                <w:b/>
                <w:color w:val="1F4E79" w:themeColor="accent1" w:themeShade="80"/>
                <w:sz w:val="21"/>
                <w:szCs w:val="21"/>
                <w:u w:val="single"/>
              </w:rPr>
              <w:t>20 points</w:t>
            </w:r>
            <w:r>
              <w:rPr>
                <w:b/>
                <w:color w:val="1F4E79" w:themeColor="accent1" w:themeShade="80"/>
                <w:sz w:val="21"/>
                <w:szCs w:val="21"/>
              </w:rPr>
              <w:t>)</w:t>
            </w:r>
          </w:p>
        </w:tc>
      </w:tr>
      <w:tr w:rsidR="00DF6A01" w:rsidRPr="00687A69" w14:paraId="40E52310"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FDC718B" w14:textId="10A1C805" w:rsidR="00DF6A01" w:rsidRDefault="00DF6A01" w:rsidP="00426C1C">
            <w:pPr>
              <w:spacing w:before="60" w:after="60" w:line="240" w:lineRule="auto"/>
              <w:contextualSpacing/>
              <w:rPr>
                <w:rFonts w:eastAsia="Times New Roman" w:cs="Arial"/>
                <w:sz w:val="21"/>
                <w:szCs w:val="21"/>
                <w:lang w:val="en" w:eastAsia="en-GB"/>
              </w:rPr>
            </w:pPr>
          </w:p>
          <w:p w14:paraId="51C6562F" w14:textId="77777777" w:rsidR="002415E5" w:rsidRPr="00687A69" w:rsidRDefault="002415E5" w:rsidP="00043A2B">
            <w:pPr>
              <w:spacing w:before="60" w:after="60" w:line="240" w:lineRule="auto"/>
              <w:contextualSpacing/>
              <w:rPr>
                <w:rFonts w:eastAsia="Times New Roman" w:cs="Arial"/>
                <w:sz w:val="21"/>
                <w:szCs w:val="21"/>
                <w:lang w:val="en" w:eastAsia="en-GB"/>
              </w:rPr>
            </w:pPr>
          </w:p>
        </w:tc>
      </w:tr>
    </w:tbl>
    <w:p w14:paraId="71BA8420" w14:textId="77777777" w:rsidR="00746347" w:rsidRDefault="00746347" w:rsidP="00330EF9">
      <w:pPr>
        <w:spacing w:after="0" w:line="240" w:lineRule="auto"/>
        <w:contextualSpacing/>
        <w:rPr>
          <w:rFonts w:eastAsia="Times New Roman" w:cs="Arial"/>
          <w:b/>
          <w:color w:val="000000"/>
          <w:sz w:val="21"/>
          <w:szCs w:val="21"/>
          <w:lang w:eastAsia="en-GB"/>
        </w:rPr>
      </w:pPr>
    </w:p>
    <w:p w14:paraId="1478DFEA" w14:textId="01585E55" w:rsidR="00DF6A01" w:rsidRPr="00746347" w:rsidRDefault="00DF6A01" w:rsidP="00330EF9">
      <w:pPr>
        <w:spacing w:after="0" w:line="240" w:lineRule="auto"/>
        <w:contextualSpacing/>
        <w:rPr>
          <w:rFonts w:eastAsia="Times New Roman" w:cs="Arial"/>
          <w:b/>
          <w:color w:val="000000"/>
        </w:rPr>
      </w:pPr>
      <w:r>
        <w:rPr>
          <w:b/>
          <w:color w:val="000000"/>
        </w:rPr>
        <w:t>FIN PARTIE 2</w:t>
      </w:r>
    </w:p>
    <w:sectPr w:rsidR="00DF6A01" w:rsidRPr="00746347" w:rsidSect="001B423E">
      <w:headerReference w:type="default" r:id="rId9"/>
      <w:footerReference w:type="default" r:id="rId10"/>
      <w:headerReference w:type="first" r:id="rId11"/>
      <w:footerReference w:type="first" r:id="rId12"/>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3949" w14:textId="77777777" w:rsidR="000C0D93" w:rsidRDefault="000C0D93" w:rsidP="00756075">
      <w:pPr>
        <w:spacing w:after="0" w:line="240" w:lineRule="auto"/>
      </w:pPr>
      <w:r>
        <w:separator/>
      </w:r>
    </w:p>
  </w:endnote>
  <w:endnote w:type="continuationSeparator" w:id="0">
    <w:p w14:paraId="04D3A544" w14:textId="77777777" w:rsidR="000C0D93" w:rsidRDefault="000C0D93" w:rsidP="00756075">
      <w:pPr>
        <w:spacing w:after="0" w:line="240" w:lineRule="auto"/>
      </w:pPr>
      <w:r>
        <w:continuationSeparator/>
      </w:r>
    </w:p>
  </w:endnote>
  <w:endnote w:type="continuationNotice" w:id="1">
    <w:p w14:paraId="0050BF55" w14:textId="77777777" w:rsidR="000C0D93" w:rsidRDefault="000C0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195513"/>
      <w:docPartObj>
        <w:docPartGallery w:val="Page Numbers (Bottom of Page)"/>
        <w:docPartUnique/>
      </w:docPartObj>
    </w:sdtPr>
    <w:sdtEndPr>
      <w:rPr>
        <w:noProof/>
      </w:rPr>
    </w:sdtEndPr>
    <w:sdtContent>
      <w:p w14:paraId="59E78885" w14:textId="77777777" w:rsidR="00A76D33" w:rsidRPr="007D53D0" w:rsidRDefault="00A76D33" w:rsidP="00A76D33">
        <w:pPr>
          <w:pStyle w:val="Pieddepage"/>
          <w:jc w:val="center"/>
          <w:rPr>
            <w:sz w:val="20"/>
            <w:szCs w:val="20"/>
          </w:rPr>
        </w:pPr>
        <w:r>
          <w:rPr>
            <w:sz w:val="20"/>
            <w:szCs w:val="20"/>
          </w:rPr>
          <w:t>Date :</w:t>
        </w:r>
        <w:r>
          <w:rPr>
            <w:sz w:val="20"/>
            <w:szCs w:val="20"/>
          </w:rPr>
          <w:tab/>
          <w:t>Signature :</w:t>
        </w:r>
        <w:r>
          <w:rPr>
            <w:sz w:val="20"/>
            <w:szCs w:val="20"/>
          </w:rPr>
          <w:tab/>
          <w:t xml:space="preserve">  </w:t>
        </w:r>
        <w:r>
          <w:rPr>
            <w:sz w:val="20"/>
            <w:szCs w:val="20"/>
          </w:rPr>
          <w:tab/>
          <w:t>Cachet de la société</w:t>
        </w:r>
      </w:p>
      <w:p w14:paraId="57BD0574" w14:textId="59C79D39" w:rsidR="00B071F0" w:rsidRPr="00A76D33" w:rsidRDefault="00000000" w:rsidP="00A76D33">
        <w:pPr>
          <w:pStyle w:val="Pieddepage"/>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9804"/>
      <w:docPartObj>
        <w:docPartGallery w:val="Page Numbers (Bottom of Page)"/>
        <w:docPartUnique/>
      </w:docPartObj>
    </w:sdtPr>
    <w:sdtEndPr>
      <w:rPr>
        <w:noProof/>
      </w:rPr>
    </w:sdtEndPr>
    <w:sdtContent>
      <w:p w14:paraId="525EB164" w14:textId="3B7B28F7" w:rsidR="00F8248A" w:rsidRDefault="00F8248A">
        <w:pPr>
          <w:pStyle w:val="Pieddepage"/>
          <w:jc w:val="center"/>
        </w:pPr>
        <w:r>
          <w:fldChar w:fldCharType="begin"/>
        </w:r>
        <w:r>
          <w:instrText xml:space="preserve"> PAGE   \* MERGEFORMAT </w:instrText>
        </w:r>
        <w:r>
          <w:fldChar w:fldCharType="separate"/>
        </w:r>
        <w:r w:rsidR="00643648">
          <w:rPr>
            <w:noProof/>
          </w:rPr>
          <w:t>1</w:t>
        </w:r>
        <w:r>
          <w:fldChar w:fldCharType="end"/>
        </w:r>
      </w:p>
    </w:sdtContent>
  </w:sdt>
  <w:p w14:paraId="4EC271B5" w14:textId="77777777" w:rsidR="00B317F6" w:rsidRPr="0097325F" w:rsidRDefault="00B317F6" w:rsidP="009732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4659" w14:textId="77777777" w:rsidR="000C0D93" w:rsidRDefault="000C0D93" w:rsidP="00756075">
      <w:pPr>
        <w:spacing w:after="0" w:line="240" w:lineRule="auto"/>
      </w:pPr>
      <w:r>
        <w:separator/>
      </w:r>
    </w:p>
  </w:footnote>
  <w:footnote w:type="continuationSeparator" w:id="0">
    <w:p w14:paraId="6A294DFE" w14:textId="77777777" w:rsidR="000C0D93" w:rsidRDefault="000C0D93" w:rsidP="00756075">
      <w:pPr>
        <w:spacing w:after="0" w:line="240" w:lineRule="auto"/>
      </w:pPr>
      <w:r>
        <w:continuationSeparator/>
      </w:r>
    </w:p>
  </w:footnote>
  <w:footnote w:type="continuationNotice" w:id="1">
    <w:p w14:paraId="58AF08E4" w14:textId="77777777" w:rsidR="000C0D93" w:rsidRDefault="000C0D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E427" w14:textId="77777777" w:rsidR="00756075" w:rsidRDefault="00756075">
    <w:pPr>
      <w:pStyle w:val="En-tte"/>
    </w:pPr>
  </w:p>
  <w:p w14:paraId="5FE57D17" w14:textId="77777777" w:rsidR="00756075" w:rsidRDefault="007560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D30B" w14:textId="77777777" w:rsidR="00F617BA" w:rsidRDefault="00756075" w:rsidP="00F617BA">
    <w:pPr>
      <w:spacing w:after="0" w:line="240" w:lineRule="auto"/>
      <w:jc w:val="center"/>
      <w:rPr>
        <w:rFonts w:ascii="Arial" w:hAnsi="Arial"/>
        <w:b/>
        <w:sz w:val="24"/>
        <w:szCs w:val="24"/>
      </w:rPr>
    </w:pPr>
    <w:r>
      <w:rPr>
        <w:b/>
        <w:sz w:val="28"/>
        <w:szCs w:val="28"/>
      </w:rPr>
      <w:t>APPEL D’OFFRES N° </w:t>
    </w:r>
    <w:r w:rsidR="00F617BA" w:rsidRPr="00D86237">
      <w:rPr>
        <w:rFonts w:ascii="Arial" w:hAnsi="Arial"/>
        <w:b/>
        <w:sz w:val="24"/>
        <w:szCs w:val="24"/>
      </w:rPr>
      <w:t>RFP/MRT/004/2024</w:t>
    </w:r>
  </w:p>
  <w:p w14:paraId="2687DB4A" w14:textId="4F7D72E0" w:rsidR="00021306" w:rsidRPr="00E40B08" w:rsidRDefault="00021306" w:rsidP="00F617BA">
    <w:pPr>
      <w:spacing w:after="0" w:line="240" w:lineRule="auto"/>
      <w:jc w:val="center"/>
      <w:rPr>
        <w:rFonts w:eastAsia="Times New Roman" w:cs="Arial"/>
        <w:i/>
        <w:color w:val="000000"/>
      </w:rPr>
    </w:pPr>
    <w:r>
      <w:rPr>
        <w:b/>
        <w:bCs/>
        <w:i/>
      </w:rPr>
      <w:t xml:space="preserve">Services financiers pour l’offre d'interventions en espèces pour le </w:t>
    </w:r>
    <w:r w:rsidRPr="00D86237">
      <w:rPr>
        <w:b/>
        <w:bCs/>
        <w:i/>
      </w:rPr>
      <w:t xml:space="preserve">HCR en </w:t>
    </w:r>
    <w:r w:rsidR="00187FEF" w:rsidRPr="00D86237">
      <w:rPr>
        <w:b/>
        <w:bCs/>
        <w:i/>
      </w:rPr>
      <w:t>Mauritanie</w:t>
    </w:r>
  </w:p>
  <w:p w14:paraId="44F4687E" w14:textId="77777777" w:rsidR="00021306" w:rsidRPr="00E40B08" w:rsidRDefault="00021306" w:rsidP="00021306">
    <w:pPr>
      <w:spacing w:after="0" w:line="240" w:lineRule="auto"/>
      <w:jc w:val="center"/>
      <w:rPr>
        <w:rFonts w:eastAsia="Times New Roman" w:cs="Arial"/>
        <w:b/>
        <w:color w:val="000000"/>
        <w:sz w:val="24"/>
        <w:szCs w:val="24"/>
        <w:lang w:eastAsia="en-GB"/>
      </w:rPr>
    </w:pPr>
  </w:p>
  <w:p w14:paraId="6F5995F8" w14:textId="72F15BC2" w:rsidR="00B94433" w:rsidRPr="00467640" w:rsidRDefault="00756075" w:rsidP="00021306">
    <w:pPr>
      <w:pBdr>
        <w:bottom w:val="single" w:sz="4" w:space="1" w:color="auto"/>
      </w:pBdr>
      <w:spacing w:after="0" w:line="235" w:lineRule="atLeast"/>
      <w:jc w:val="center"/>
      <w:rPr>
        <w:rFonts w:eastAsia="Times New Roman" w:cs="Arial"/>
        <w:b/>
        <w:bCs/>
        <w:color w:val="000000"/>
        <w:sz w:val="28"/>
        <w:szCs w:val="28"/>
      </w:rPr>
    </w:pPr>
    <w:r>
      <w:rPr>
        <w:b/>
        <w:bCs/>
        <w:color w:val="000000"/>
        <w:sz w:val="28"/>
        <w:szCs w:val="28"/>
      </w:rPr>
      <w:t>Annexe B – Exigences détaillées et offre technique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7441C"/>
    <w:multiLevelType w:val="hybridMultilevel"/>
    <w:tmpl w:val="4D58921C"/>
    <w:lvl w:ilvl="0" w:tplc="0988029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725D5C"/>
    <w:multiLevelType w:val="hybridMultilevel"/>
    <w:tmpl w:val="D8C0FB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361E0B"/>
    <w:multiLevelType w:val="hybridMultilevel"/>
    <w:tmpl w:val="8568623A"/>
    <w:lvl w:ilvl="0" w:tplc="24BED2D2">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1E7D33"/>
    <w:multiLevelType w:val="hybridMultilevel"/>
    <w:tmpl w:val="D8C0FB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AB6CCF"/>
    <w:multiLevelType w:val="hybridMultilevel"/>
    <w:tmpl w:val="1602ADFC"/>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82624C"/>
    <w:multiLevelType w:val="hybridMultilevel"/>
    <w:tmpl w:val="80723A30"/>
    <w:lvl w:ilvl="0" w:tplc="08090011">
      <w:start w:val="1"/>
      <w:numFmt w:val="decimal"/>
      <w:lvlText w:val="%1)"/>
      <w:lvlJc w:val="left"/>
      <w:pPr>
        <w:ind w:left="915" w:hanging="555"/>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8E3E07"/>
    <w:multiLevelType w:val="hybridMultilevel"/>
    <w:tmpl w:val="16181BC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D86780"/>
    <w:multiLevelType w:val="hybridMultilevel"/>
    <w:tmpl w:val="F36E86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C31144"/>
    <w:multiLevelType w:val="hybridMultilevel"/>
    <w:tmpl w:val="127EE2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F66A7D"/>
    <w:multiLevelType w:val="hybridMultilevel"/>
    <w:tmpl w:val="FDC2B8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BE4B7E"/>
    <w:multiLevelType w:val="hybridMultilevel"/>
    <w:tmpl w:val="DF401672"/>
    <w:lvl w:ilvl="0" w:tplc="08090011">
      <w:start w:val="1"/>
      <w:numFmt w:val="decimal"/>
      <w:lvlText w:val="%1)"/>
      <w:lvlJc w:val="left"/>
      <w:pPr>
        <w:ind w:left="915" w:hanging="555"/>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4B22159"/>
    <w:multiLevelType w:val="hybridMultilevel"/>
    <w:tmpl w:val="41B409EA"/>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503487"/>
    <w:multiLevelType w:val="hybridMultilevel"/>
    <w:tmpl w:val="6E763B30"/>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205045"/>
    <w:multiLevelType w:val="hybridMultilevel"/>
    <w:tmpl w:val="41B409EA"/>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5525639">
    <w:abstractNumId w:val="2"/>
  </w:num>
  <w:num w:numId="2" w16cid:durableId="2027099580">
    <w:abstractNumId w:val="0"/>
  </w:num>
  <w:num w:numId="3" w16cid:durableId="2082604372">
    <w:abstractNumId w:val="5"/>
  </w:num>
  <w:num w:numId="4" w16cid:durableId="2022198836">
    <w:abstractNumId w:val="10"/>
  </w:num>
  <w:num w:numId="5" w16cid:durableId="212161685">
    <w:abstractNumId w:val="7"/>
  </w:num>
  <w:num w:numId="6" w16cid:durableId="2000310049">
    <w:abstractNumId w:val="4"/>
  </w:num>
  <w:num w:numId="7" w16cid:durableId="815877909">
    <w:abstractNumId w:val="13"/>
  </w:num>
  <w:num w:numId="8" w16cid:durableId="1778524071">
    <w:abstractNumId w:val="1"/>
  </w:num>
  <w:num w:numId="9" w16cid:durableId="122622025">
    <w:abstractNumId w:val="12"/>
  </w:num>
  <w:num w:numId="10" w16cid:durableId="2094471313">
    <w:abstractNumId w:val="3"/>
  </w:num>
  <w:num w:numId="11" w16cid:durableId="1985116223">
    <w:abstractNumId w:val="8"/>
  </w:num>
  <w:num w:numId="12" w16cid:durableId="586695011">
    <w:abstractNumId w:val="6"/>
  </w:num>
  <w:num w:numId="13" w16cid:durableId="736585561">
    <w:abstractNumId w:val="11"/>
  </w:num>
  <w:num w:numId="14" w16cid:durableId="52147466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2A2"/>
    <w:rsid w:val="000029A7"/>
    <w:rsid w:val="00006BFE"/>
    <w:rsid w:val="000074C6"/>
    <w:rsid w:val="000077A1"/>
    <w:rsid w:val="00010BB5"/>
    <w:rsid w:val="000175E5"/>
    <w:rsid w:val="00017876"/>
    <w:rsid w:val="00021306"/>
    <w:rsid w:val="000226E1"/>
    <w:rsid w:val="00022C6C"/>
    <w:rsid w:val="0002458A"/>
    <w:rsid w:val="00027725"/>
    <w:rsid w:val="00043A2B"/>
    <w:rsid w:val="00047B26"/>
    <w:rsid w:val="000550C6"/>
    <w:rsid w:val="000563B8"/>
    <w:rsid w:val="0005735A"/>
    <w:rsid w:val="0006151A"/>
    <w:rsid w:val="00062BD0"/>
    <w:rsid w:val="0007570A"/>
    <w:rsid w:val="00077C13"/>
    <w:rsid w:val="00080306"/>
    <w:rsid w:val="00083A34"/>
    <w:rsid w:val="00084837"/>
    <w:rsid w:val="00085E89"/>
    <w:rsid w:val="000864B4"/>
    <w:rsid w:val="00087F2E"/>
    <w:rsid w:val="0009074E"/>
    <w:rsid w:val="00090D32"/>
    <w:rsid w:val="000A6637"/>
    <w:rsid w:val="000A78D4"/>
    <w:rsid w:val="000A7D49"/>
    <w:rsid w:val="000A7F51"/>
    <w:rsid w:val="000B3D6C"/>
    <w:rsid w:val="000B60AB"/>
    <w:rsid w:val="000B6BA9"/>
    <w:rsid w:val="000C0D93"/>
    <w:rsid w:val="000C45FF"/>
    <w:rsid w:val="000D0BE8"/>
    <w:rsid w:val="000D54C7"/>
    <w:rsid w:val="000D65DB"/>
    <w:rsid w:val="000D7A0B"/>
    <w:rsid w:val="000E27A5"/>
    <w:rsid w:val="000E27E6"/>
    <w:rsid w:val="000E6A21"/>
    <w:rsid w:val="000F12B1"/>
    <w:rsid w:val="000F5CB3"/>
    <w:rsid w:val="001008AB"/>
    <w:rsid w:val="001014E7"/>
    <w:rsid w:val="0010189A"/>
    <w:rsid w:val="00107DA2"/>
    <w:rsid w:val="001103B8"/>
    <w:rsid w:val="0011255C"/>
    <w:rsid w:val="0011391F"/>
    <w:rsid w:val="001155A5"/>
    <w:rsid w:val="00126284"/>
    <w:rsid w:val="0012718D"/>
    <w:rsid w:val="00132008"/>
    <w:rsid w:val="00132946"/>
    <w:rsid w:val="00136CC2"/>
    <w:rsid w:val="001372D6"/>
    <w:rsid w:val="00144AED"/>
    <w:rsid w:val="0015277F"/>
    <w:rsid w:val="00163141"/>
    <w:rsid w:val="00171B13"/>
    <w:rsid w:val="001728C8"/>
    <w:rsid w:val="00174BB1"/>
    <w:rsid w:val="0018505D"/>
    <w:rsid w:val="0018653A"/>
    <w:rsid w:val="00186D89"/>
    <w:rsid w:val="00186EE9"/>
    <w:rsid w:val="00187FEF"/>
    <w:rsid w:val="00196923"/>
    <w:rsid w:val="001A6513"/>
    <w:rsid w:val="001B0750"/>
    <w:rsid w:val="001B423E"/>
    <w:rsid w:val="001B479F"/>
    <w:rsid w:val="001B5CA5"/>
    <w:rsid w:val="001C0088"/>
    <w:rsid w:val="001C70A0"/>
    <w:rsid w:val="001D254D"/>
    <w:rsid w:val="001D2E32"/>
    <w:rsid w:val="001D37CB"/>
    <w:rsid w:val="001D7354"/>
    <w:rsid w:val="001E70D1"/>
    <w:rsid w:val="001E7C40"/>
    <w:rsid w:val="001F2B3B"/>
    <w:rsid w:val="001F42F7"/>
    <w:rsid w:val="00204092"/>
    <w:rsid w:val="00205CB0"/>
    <w:rsid w:val="00206BFD"/>
    <w:rsid w:val="0021070B"/>
    <w:rsid w:val="0021601A"/>
    <w:rsid w:val="00216127"/>
    <w:rsid w:val="00225D4E"/>
    <w:rsid w:val="00231326"/>
    <w:rsid w:val="00232B1F"/>
    <w:rsid w:val="00234F8F"/>
    <w:rsid w:val="00236233"/>
    <w:rsid w:val="002415E5"/>
    <w:rsid w:val="00243B18"/>
    <w:rsid w:val="0025018C"/>
    <w:rsid w:val="00251B54"/>
    <w:rsid w:val="00261622"/>
    <w:rsid w:val="00261AAE"/>
    <w:rsid w:val="00262072"/>
    <w:rsid w:val="002641A5"/>
    <w:rsid w:val="00267E27"/>
    <w:rsid w:val="00267E6D"/>
    <w:rsid w:val="002704CE"/>
    <w:rsid w:val="0027255C"/>
    <w:rsid w:val="00280679"/>
    <w:rsid w:val="002817EC"/>
    <w:rsid w:val="002843BC"/>
    <w:rsid w:val="00284713"/>
    <w:rsid w:val="00284C07"/>
    <w:rsid w:val="00292349"/>
    <w:rsid w:val="002960DC"/>
    <w:rsid w:val="002A37FD"/>
    <w:rsid w:val="002B385A"/>
    <w:rsid w:val="002B4BB6"/>
    <w:rsid w:val="002C5980"/>
    <w:rsid w:val="002C7230"/>
    <w:rsid w:val="002D34DD"/>
    <w:rsid w:val="002D3579"/>
    <w:rsid w:val="002D6FD3"/>
    <w:rsid w:val="002E11AD"/>
    <w:rsid w:val="002E12E9"/>
    <w:rsid w:val="002F0400"/>
    <w:rsid w:val="002F0E8D"/>
    <w:rsid w:val="002F568A"/>
    <w:rsid w:val="00306587"/>
    <w:rsid w:val="0031263F"/>
    <w:rsid w:val="003156B7"/>
    <w:rsid w:val="00315F00"/>
    <w:rsid w:val="00330EF9"/>
    <w:rsid w:val="0033178A"/>
    <w:rsid w:val="003378A7"/>
    <w:rsid w:val="0034139F"/>
    <w:rsid w:val="0034262B"/>
    <w:rsid w:val="00351101"/>
    <w:rsid w:val="0035395D"/>
    <w:rsid w:val="00355F18"/>
    <w:rsid w:val="0035632D"/>
    <w:rsid w:val="0035664C"/>
    <w:rsid w:val="00357E16"/>
    <w:rsid w:val="00365E09"/>
    <w:rsid w:val="003716A6"/>
    <w:rsid w:val="00371701"/>
    <w:rsid w:val="003720F9"/>
    <w:rsid w:val="00372859"/>
    <w:rsid w:val="003775FD"/>
    <w:rsid w:val="003818A0"/>
    <w:rsid w:val="00385EE9"/>
    <w:rsid w:val="00386973"/>
    <w:rsid w:val="003A1ADF"/>
    <w:rsid w:val="003A3F8D"/>
    <w:rsid w:val="003A6B9A"/>
    <w:rsid w:val="003B2C19"/>
    <w:rsid w:val="003B4573"/>
    <w:rsid w:val="003B67DD"/>
    <w:rsid w:val="003B7102"/>
    <w:rsid w:val="003C14E3"/>
    <w:rsid w:val="003C250B"/>
    <w:rsid w:val="003C4117"/>
    <w:rsid w:val="003C55D8"/>
    <w:rsid w:val="003D2363"/>
    <w:rsid w:val="003D3BE4"/>
    <w:rsid w:val="003D4C83"/>
    <w:rsid w:val="003D714E"/>
    <w:rsid w:val="003D7432"/>
    <w:rsid w:val="003D76C8"/>
    <w:rsid w:val="003D7BC5"/>
    <w:rsid w:val="003E5B0B"/>
    <w:rsid w:val="003F7D28"/>
    <w:rsid w:val="004008B0"/>
    <w:rsid w:val="004010A2"/>
    <w:rsid w:val="004143FA"/>
    <w:rsid w:val="00420108"/>
    <w:rsid w:val="00420176"/>
    <w:rsid w:val="00420B2A"/>
    <w:rsid w:val="00421D47"/>
    <w:rsid w:val="00424378"/>
    <w:rsid w:val="00425212"/>
    <w:rsid w:val="00425D30"/>
    <w:rsid w:val="00426679"/>
    <w:rsid w:val="00426C1C"/>
    <w:rsid w:val="00431C55"/>
    <w:rsid w:val="004344BB"/>
    <w:rsid w:val="00434B4D"/>
    <w:rsid w:val="004414DD"/>
    <w:rsid w:val="00443AA0"/>
    <w:rsid w:val="004471A8"/>
    <w:rsid w:val="00447BE6"/>
    <w:rsid w:val="00447C98"/>
    <w:rsid w:val="00452DB4"/>
    <w:rsid w:val="004531CE"/>
    <w:rsid w:val="00455276"/>
    <w:rsid w:val="00455F71"/>
    <w:rsid w:val="00460BD5"/>
    <w:rsid w:val="00467640"/>
    <w:rsid w:val="00471DBC"/>
    <w:rsid w:val="0048109D"/>
    <w:rsid w:val="00490825"/>
    <w:rsid w:val="00490FFE"/>
    <w:rsid w:val="004951D4"/>
    <w:rsid w:val="004A04E3"/>
    <w:rsid w:val="004A04E4"/>
    <w:rsid w:val="004A18C9"/>
    <w:rsid w:val="004A2D0F"/>
    <w:rsid w:val="004A4512"/>
    <w:rsid w:val="004A6E83"/>
    <w:rsid w:val="004A748B"/>
    <w:rsid w:val="004B0CAF"/>
    <w:rsid w:val="004B24DC"/>
    <w:rsid w:val="004B3D22"/>
    <w:rsid w:val="004B5C02"/>
    <w:rsid w:val="004C3686"/>
    <w:rsid w:val="004C6154"/>
    <w:rsid w:val="004C6597"/>
    <w:rsid w:val="004D461B"/>
    <w:rsid w:val="004D5CB4"/>
    <w:rsid w:val="004D6176"/>
    <w:rsid w:val="004D69FB"/>
    <w:rsid w:val="004E19B7"/>
    <w:rsid w:val="004E76E3"/>
    <w:rsid w:val="004F4114"/>
    <w:rsid w:val="004F4BC3"/>
    <w:rsid w:val="004F54B9"/>
    <w:rsid w:val="004F63E6"/>
    <w:rsid w:val="00500DAD"/>
    <w:rsid w:val="005018AA"/>
    <w:rsid w:val="00505529"/>
    <w:rsid w:val="005077F3"/>
    <w:rsid w:val="00511161"/>
    <w:rsid w:val="00512A20"/>
    <w:rsid w:val="00514D6A"/>
    <w:rsid w:val="00523A7D"/>
    <w:rsid w:val="00533384"/>
    <w:rsid w:val="005344F2"/>
    <w:rsid w:val="005347DB"/>
    <w:rsid w:val="00541795"/>
    <w:rsid w:val="005432A2"/>
    <w:rsid w:val="00544C5C"/>
    <w:rsid w:val="005455EA"/>
    <w:rsid w:val="0054563A"/>
    <w:rsid w:val="00546253"/>
    <w:rsid w:val="00547301"/>
    <w:rsid w:val="00552559"/>
    <w:rsid w:val="00555414"/>
    <w:rsid w:val="00555453"/>
    <w:rsid w:val="00556A23"/>
    <w:rsid w:val="00557149"/>
    <w:rsid w:val="00565175"/>
    <w:rsid w:val="00566260"/>
    <w:rsid w:val="0056750B"/>
    <w:rsid w:val="005762FE"/>
    <w:rsid w:val="00584F09"/>
    <w:rsid w:val="00585A53"/>
    <w:rsid w:val="005905EC"/>
    <w:rsid w:val="00591F72"/>
    <w:rsid w:val="00592E70"/>
    <w:rsid w:val="00594184"/>
    <w:rsid w:val="005952D3"/>
    <w:rsid w:val="005A0A4A"/>
    <w:rsid w:val="005A1381"/>
    <w:rsid w:val="005B43E0"/>
    <w:rsid w:val="005B5C09"/>
    <w:rsid w:val="005C240D"/>
    <w:rsid w:val="005D59A2"/>
    <w:rsid w:val="005E40C6"/>
    <w:rsid w:val="005E6C78"/>
    <w:rsid w:val="005F634B"/>
    <w:rsid w:val="005F7F87"/>
    <w:rsid w:val="00600804"/>
    <w:rsid w:val="00602EB4"/>
    <w:rsid w:val="006049F2"/>
    <w:rsid w:val="00604BAC"/>
    <w:rsid w:val="00605435"/>
    <w:rsid w:val="00605FED"/>
    <w:rsid w:val="0060614D"/>
    <w:rsid w:val="00607E49"/>
    <w:rsid w:val="00614C05"/>
    <w:rsid w:val="00615FC6"/>
    <w:rsid w:val="00622FD4"/>
    <w:rsid w:val="006230A3"/>
    <w:rsid w:val="00623C94"/>
    <w:rsid w:val="0062452B"/>
    <w:rsid w:val="00630A97"/>
    <w:rsid w:val="0063189B"/>
    <w:rsid w:val="00633A42"/>
    <w:rsid w:val="006420BC"/>
    <w:rsid w:val="006434CD"/>
    <w:rsid w:val="00643648"/>
    <w:rsid w:val="00644621"/>
    <w:rsid w:val="00647907"/>
    <w:rsid w:val="00662295"/>
    <w:rsid w:val="00665EEB"/>
    <w:rsid w:val="00666BCA"/>
    <w:rsid w:val="0066707E"/>
    <w:rsid w:val="00671BA9"/>
    <w:rsid w:val="006721B9"/>
    <w:rsid w:val="0067271F"/>
    <w:rsid w:val="0067341B"/>
    <w:rsid w:val="006828F6"/>
    <w:rsid w:val="006859CB"/>
    <w:rsid w:val="00687A69"/>
    <w:rsid w:val="00690175"/>
    <w:rsid w:val="0069103C"/>
    <w:rsid w:val="0069343E"/>
    <w:rsid w:val="00693DBD"/>
    <w:rsid w:val="006945C7"/>
    <w:rsid w:val="00694926"/>
    <w:rsid w:val="0069656C"/>
    <w:rsid w:val="006C29EB"/>
    <w:rsid w:val="006C3698"/>
    <w:rsid w:val="006C4707"/>
    <w:rsid w:val="006D3976"/>
    <w:rsid w:val="006D409A"/>
    <w:rsid w:val="006E164A"/>
    <w:rsid w:val="006E313A"/>
    <w:rsid w:val="006E46E8"/>
    <w:rsid w:val="006E56CC"/>
    <w:rsid w:val="006F6CE2"/>
    <w:rsid w:val="006F7EB4"/>
    <w:rsid w:val="00702896"/>
    <w:rsid w:val="00702BAC"/>
    <w:rsid w:val="007073C4"/>
    <w:rsid w:val="00711F57"/>
    <w:rsid w:val="00713563"/>
    <w:rsid w:val="00714035"/>
    <w:rsid w:val="00716022"/>
    <w:rsid w:val="00716D21"/>
    <w:rsid w:val="007234D6"/>
    <w:rsid w:val="0072709D"/>
    <w:rsid w:val="0072729F"/>
    <w:rsid w:val="00731391"/>
    <w:rsid w:val="00731825"/>
    <w:rsid w:val="00731E13"/>
    <w:rsid w:val="00735A8D"/>
    <w:rsid w:val="00746347"/>
    <w:rsid w:val="007466F1"/>
    <w:rsid w:val="00747D98"/>
    <w:rsid w:val="00750574"/>
    <w:rsid w:val="00750FDC"/>
    <w:rsid w:val="007512C4"/>
    <w:rsid w:val="00756075"/>
    <w:rsid w:val="007640A5"/>
    <w:rsid w:val="0076533F"/>
    <w:rsid w:val="007674D0"/>
    <w:rsid w:val="007741A9"/>
    <w:rsid w:val="00775BD9"/>
    <w:rsid w:val="007764DF"/>
    <w:rsid w:val="00793BB4"/>
    <w:rsid w:val="00793E0E"/>
    <w:rsid w:val="00796627"/>
    <w:rsid w:val="00796682"/>
    <w:rsid w:val="00797758"/>
    <w:rsid w:val="00797A85"/>
    <w:rsid w:val="007A42EA"/>
    <w:rsid w:val="007B0F2C"/>
    <w:rsid w:val="007B4A5C"/>
    <w:rsid w:val="007B79DA"/>
    <w:rsid w:val="007C7E83"/>
    <w:rsid w:val="007D1289"/>
    <w:rsid w:val="007D3BC2"/>
    <w:rsid w:val="007D53D0"/>
    <w:rsid w:val="007D791E"/>
    <w:rsid w:val="007E0494"/>
    <w:rsid w:val="007E4B4E"/>
    <w:rsid w:val="007E5D62"/>
    <w:rsid w:val="007F1EA3"/>
    <w:rsid w:val="007F4EF2"/>
    <w:rsid w:val="007F74EA"/>
    <w:rsid w:val="008016B1"/>
    <w:rsid w:val="008016D8"/>
    <w:rsid w:val="008074B3"/>
    <w:rsid w:val="00807C22"/>
    <w:rsid w:val="00815CDF"/>
    <w:rsid w:val="008235FF"/>
    <w:rsid w:val="00826299"/>
    <w:rsid w:val="008262F1"/>
    <w:rsid w:val="008309D7"/>
    <w:rsid w:val="0083351F"/>
    <w:rsid w:val="00834D88"/>
    <w:rsid w:val="008353A2"/>
    <w:rsid w:val="00843617"/>
    <w:rsid w:val="00845AF1"/>
    <w:rsid w:val="00846E07"/>
    <w:rsid w:val="008478C4"/>
    <w:rsid w:val="00853518"/>
    <w:rsid w:val="008545E4"/>
    <w:rsid w:val="00855E40"/>
    <w:rsid w:val="0085610B"/>
    <w:rsid w:val="00856B2B"/>
    <w:rsid w:val="00857277"/>
    <w:rsid w:val="008625B4"/>
    <w:rsid w:val="0086404D"/>
    <w:rsid w:val="00870E23"/>
    <w:rsid w:val="008721FF"/>
    <w:rsid w:val="00872592"/>
    <w:rsid w:val="00874010"/>
    <w:rsid w:val="008862E5"/>
    <w:rsid w:val="00887BB9"/>
    <w:rsid w:val="008A01E8"/>
    <w:rsid w:val="008A3D3E"/>
    <w:rsid w:val="008A4ECB"/>
    <w:rsid w:val="008A5171"/>
    <w:rsid w:val="008B3087"/>
    <w:rsid w:val="008B33AE"/>
    <w:rsid w:val="008C2C8D"/>
    <w:rsid w:val="008C3506"/>
    <w:rsid w:val="008C358F"/>
    <w:rsid w:val="008C5EDB"/>
    <w:rsid w:val="008C652B"/>
    <w:rsid w:val="008D403F"/>
    <w:rsid w:val="008D603D"/>
    <w:rsid w:val="008E25DC"/>
    <w:rsid w:val="008F15C6"/>
    <w:rsid w:val="008F216E"/>
    <w:rsid w:val="008F44E6"/>
    <w:rsid w:val="009105C9"/>
    <w:rsid w:val="009111DE"/>
    <w:rsid w:val="0091630C"/>
    <w:rsid w:val="0092110E"/>
    <w:rsid w:val="00925004"/>
    <w:rsid w:val="0093149B"/>
    <w:rsid w:val="009337AE"/>
    <w:rsid w:val="00935C9E"/>
    <w:rsid w:val="00936688"/>
    <w:rsid w:val="00937D67"/>
    <w:rsid w:val="00942B27"/>
    <w:rsid w:val="00942C96"/>
    <w:rsid w:val="00945AFB"/>
    <w:rsid w:val="009579CC"/>
    <w:rsid w:val="0096015C"/>
    <w:rsid w:val="00961E97"/>
    <w:rsid w:val="00965CCF"/>
    <w:rsid w:val="0097325F"/>
    <w:rsid w:val="0098256E"/>
    <w:rsid w:val="009832B6"/>
    <w:rsid w:val="00983807"/>
    <w:rsid w:val="0098404D"/>
    <w:rsid w:val="00993B01"/>
    <w:rsid w:val="00993CB7"/>
    <w:rsid w:val="009A2DE6"/>
    <w:rsid w:val="009A3D18"/>
    <w:rsid w:val="009A67F0"/>
    <w:rsid w:val="009B24D6"/>
    <w:rsid w:val="009B6621"/>
    <w:rsid w:val="009C00B2"/>
    <w:rsid w:val="009D3A98"/>
    <w:rsid w:val="009D5FD2"/>
    <w:rsid w:val="009E1E2E"/>
    <w:rsid w:val="009E3608"/>
    <w:rsid w:val="009E6853"/>
    <w:rsid w:val="009F2211"/>
    <w:rsid w:val="009F2AA5"/>
    <w:rsid w:val="009F31FF"/>
    <w:rsid w:val="00A020EC"/>
    <w:rsid w:val="00A026D0"/>
    <w:rsid w:val="00A105C2"/>
    <w:rsid w:val="00A12499"/>
    <w:rsid w:val="00A174DF"/>
    <w:rsid w:val="00A17B0D"/>
    <w:rsid w:val="00A17DA9"/>
    <w:rsid w:val="00A21798"/>
    <w:rsid w:val="00A2199B"/>
    <w:rsid w:val="00A2379C"/>
    <w:rsid w:val="00A2759E"/>
    <w:rsid w:val="00A33ABE"/>
    <w:rsid w:val="00A43D0B"/>
    <w:rsid w:val="00A4551D"/>
    <w:rsid w:val="00A4693D"/>
    <w:rsid w:val="00A46A80"/>
    <w:rsid w:val="00A57C39"/>
    <w:rsid w:val="00A65DA9"/>
    <w:rsid w:val="00A6620F"/>
    <w:rsid w:val="00A6758C"/>
    <w:rsid w:val="00A72158"/>
    <w:rsid w:val="00A73A66"/>
    <w:rsid w:val="00A76D33"/>
    <w:rsid w:val="00A80C71"/>
    <w:rsid w:val="00A83912"/>
    <w:rsid w:val="00A87CF8"/>
    <w:rsid w:val="00A912EC"/>
    <w:rsid w:val="00A92BBA"/>
    <w:rsid w:val="00A94416"/>
    <w:rsid w:val="00A97468"/>
    <w:rsid w:val="00A975F6"/>
    <w:rsid w:val="00AA2C5A"/>
    <w:rsid w:val="00AA3536"/>
    <w:rsid w:val="00AA40D8"/>
    <w:rsid w:val="00AA5516"/>
    <w:rsid w:val="00AA7BAF"/>
    <w:rsid w:val="00AC15B3"/>
    <w:rsid w:val="00AC2752"/>
    <w:rsid w:val="00AC3396"/>
    <w:rsid w:val="00AC46F2"/>
    <w:rsid w:val="00AC6DE7"/>
    <w:rsid w:val="00AD0946"/>
    <w:rsid w:val="00AD0B36"/>
    <w:rsid w:val="00AD0DE2"/>
    <w:rsid w:val="00AE1BD2"/>
    <w:rsid w:val="00AE1FAC"/>
    <w:rsid w:val="00AE5082"/>
    <w:rsid w:val="00AE68F5"/>
    <w:rsid w:val="00AF70C6"/>
    <w:rsid w:val="00AF715E"/>
    <w:rsid w:val="00B013F8"/>
    <w:rsid w:val="00B01804"/>
    <w:rsid w:val="00B0358F"/>
    <w:rsid w:val="00B03ADE"/>
    <w:rsid w:val="00B071F0"/>
    <w:rsid w:val="00B07B34"/>
    <w:rsid w:val="00B15F02"/>
    <w:rsid w:val="00B17DBE"/>
    <w:rsid w:val="00B17E51"/>
    <w:rsid w:val="00B17EED"/>
    <w:rsid w:val="00B22423"/>
    <w:rsid w:val="00B2294F"/>
    <w:rsid w:val="00B2404A"/>
    <w:rsid w:val="00B2570D"/>
    <w:rsid w:val="00B317F6"/>
    <w:rsid w:val="00B31BBC"/>
    <w:rsid w:val="00B32A58"/>
    <w:rsid w:val="00B33995"/>
    <w:rsid w:val="00B43B2A"/>
    <w:rsid w:val="00B46091"/>
    <w:rsid w:val="00B46587"/>
    <w:rsid w:val="00B47D24"/>
    <w:rsid w:val="00B51B42"/>
    <w:rsid w:val="00B56DF7"/>
    <w:rsid w:val="00B644CD"/>
    <w:rsid w:val="00B64FF6"/>
    <w:rsid w:val="00B65B65"/>
    <w:rsid w:val="00B6602B"/>
    <w:rsid w:val="00B71F43"/>
    <w:rsid w:val="00B73C99"/>
    <w:rsid w:val="00B77943"/>
    <w:rsid w:val="00B8275E"/>
    <w:rsid w:val="00B83570"/>
    <w:rsid w:val="00B943E2"/>
    <w:rsid w:val="00B94433"/>
    <w:rsid w:val="00B9761F"/>
    <w:rsid w:val="00BA61F5"/>
    <w:rsid w:val="00BB0DE2"/>
    <w:rsid w:val="00BB4801"/>
    <w:rsid w:val="00BB5FD8"/>
    <w:rsid w:val="00BC7E5C"/>
    <w:rsid w:val="00BD474E"/>
    <w:rsid w:val="00BE295C"/>
    <w:rsid w:val="00BE4030"/>
    <w:rsid w:val="00BE4980"/>
    <w:rsid w:val="00BE7534"/>
    <w:rsid w:val="00BF1EBE"/>
    <w:rsid w:val="00BF2432"/>
    <w:rsid w:val="00C01321"/>
    <w:rsid w:val="00C016AE"/>
    <w:rsid w:val="00C048D2"/>
    <w:rsid w:val="00C134BA"/>
    <w:rsid w:val="00C16E9C"/>
    <w:rsid w:val="00C226D2"/>
    <w:rsid w:val="00C241A0"/>
    <w:rsid w:val="00C3737A"/>
    <w:rsid w:val="00C402AE"/>
    <w:rsid w:val="00C407D0"/>
    <w:rsid w:val="00C4713A"/>
    <w:rsid w:val="00C53DFC"/>
    <w:rsid w:val="00C5532C"/>
    <w:rsid w:val="00C57FFB"/>
    <w:rsid w:val="00C75C73"/>
    <w:rsid w:val="00C77779"/>
    <w:rsid w:val="00C8089C"/>
    <w:rsid w:val="00C864E9"/>
    <w:rsid w:val="00C871C5"/>
    <w:rsid w:val="00C90F73"/>
    <w:rsid w:val="00C92F32"/>
    <w:rsid w:val="00C94701"/>
    <w:rsid w:val="00CA1CB5"/>
    <w:rsid w:val="00CA2262"/>
    <w:rsid w:val="00CA6DB5"/>
    <w:rsid w:val="00CB2238"/>
    <w:rsid w:val="00CB3BB5"/>
    <w:rsid w:val="00CC04E0"/>
    <w:rsid w:val="00CC33AA"/>
    <w:rsid w:val="00CC355D"/>
    <w:rsid w:val="00CC655B"/>
    <w:rsid w:val="00CD0CE1"/>
    <w:rsid w:val="00CD2A1D"/>
    <w:rsid w:val="00CD4BCE"/>
    <w:rsid w:val="00CD7392"/>
    <w:rsid w:val="00CE2E72"/>
    <w:rsid w:val="00CE32A7"/>
    <w:rsid w:val="00CF30E1"/>
    <w:rsid w:val="00CF4A89"/>
    <w:rsid w:val="00D018E8"/>
    <w:rsid w:val="00D020D3"/>
    <w:rsid w:val="00D0257E"/>
    <w:rsid w:val="00D03105"/>
    <w:rsid w:val="00D042F8"/>
    <w:rsid w:val="00D068DB"/>
    <w:rsid w:val="00D12839"/>
    <w:rsid w:val="00D14A92"/>
    <w:rsid w:val="00D17CEF"/>
    <w:rsid w:val="00D23956"/>
    <w:rsid w:val="00D24502"/>
    <w:rsid w:val="00D267D4"/>
    <w:rsid w:val="00D26E27"/>
    <w:rsid w:val="00D3047E"/>
    <w:rsid w:val="00D37535"/>
    <w:rsid w:val="00D409D7"/>
    <w:rsid w:val="00D50AD5"/>
    <w:rsid w:val="00D52FBA"/>
    <w:rsid w:val="00D6213B"/>
    <w:rsid w:val="00D6403E"/>
    <w:rsid w:val="00D6798F"/>
    <w:rsid w:val="00D80634"/>
    <w:rsid w:val="00D84AC1"/>
    <w:rsid w:val="00D85F56"/>
    <w:rsid w:val="00D86237"/>
    <w:rsid w:val="00D92722"/>
    <w:rsid w:val="00D95BCD"/>
    <w:rsid w:val="00DA7188"/>
    <w:rsid w:val="00DB08F0"/>
    <w:rsid w:val="00DB4DD1"/>
    <w:rsid w:val="00DB758E"/>
    <w:rsid w:val="00DC092C"/>
    <w:rsid w:val="00DD0AAA"/>
    <w:rsid w:val="00DD6A8F"/>
    <w:rsid w:val="00DE1B19"/>
    <w:rsid w:val="00DE2B9C"/>
    <w:rsid w:val="00DE69ED"/>
    <w:rsid w:val="00DF08CA"/>
    <w:rsid w:val="00DF09EF"/>
    <w:rsid w:val="00DF1B04"/>
    <w:rsid w:val="00DF37AE"/>
    <w:rsid w:val="00DF3D22"/>
    <w:rsid w:val="00DF6391"/>
    <w:rsid w:val="00DF6A01"/>
    <w:rsid w:val="00DF70B1"/>
    <w:rsid w:val="00E02BB6"/>
    <w:rsid w:val="00E0366B"/>
    <w:rsid w:val="00E06373"/>
    <w:rsid w:val="00E07804"/>
    <w:rsid w:val="00E103C6"/>
    <w:rsid w:val="00E12329"/>
    <w:rsid w:val="00E23FA2"/>
    <w:rsid w:val="00E246DB"/>
    <w:rsid w:val="00E26196"/>
    <w:rsid w:val="00E2687B"/>
    <w:rsid w:val="00E318EE"/>
    <w:rsid w:val="00E32268"/>
    <w:rsid w:val="00E3239C"/>
    <w:rsid w:val="00E32E85"/>
    <w:rsid w:val="00E33845"/>
    <w:rsid w:val="00E35059"/>
    <w:rsid w:val="00E40B08"/>
    <w:rsid w:val="00E41261"/>
    <w:rsid w:val="00E4632B"/>
    <w:rsid w:val="00E51F68"/>
    <w:rsid w:val="00E5389C"/>
    <w:rsid w:val="00E53B2F"/>
    <w:rsid w:val="00E54E66"/>
    <w:rsid w:val="00E55324"/>
    <w:rsid w:val="00E55BBE"/>
    <w:rsid w:val="00E61BD7"/>
    <w:rsid w:val="00E624B5"/>
    <w:rsid w:val="00E62529"/>
    <w:rsid w:val="00E671E9"/>
    <w:rsid w:val="00E71BB6"/>
    <w:rsid w:val="00E778FF"/>
    <w:rsid w:val="00E8094A"/>
    <w:rsid w:val="00E863FE"/>
    <w:rsid w:val="00E86CE3"/>
    <w:rsid w:val="00EA1FB6"/>
    <w:rsid w:val="00EA263D"/>
    <w:rsid w:val="00EA2E61"/>
    <w:rsid w:val="00EA7CB0"/>
    <w:rsid w:val="00EB1FA0"/>
    <w:rsid w:val="00EB5669"/>
    <w:rsid w:val="00EB6504"/>
    <w:rsid w:val="00EC1387"/>
    <w:rsid w:val="00EC22C0"/>
    <w:rsid w:val="00EC232E"/>
    <w:rsid w:val="00ED15E9"/>
    <w:rsid w:val="00ED1C80"/>
    <w:rsid w:val="00ED4698"/>
    <w:rsid w:val="00ED488C"/>
    <w:rsid w:val="00ED4B63"/>
    <w:rsid w:val="00ED508F"/>
    <w:rsid w:val="00ED7A6C"/>
    <w:rsid w:val="00EE5FF8"/>
    <w:rsid w:val="00EF18CA"/>
    <w:rsid w:val="00EF60E2"/>
    <w:rsid w:val="00EF764E"/>
    <w:rsid w:val="00F12073"/>
    <w:rsid w:val="00F14178"/>
    <w:rsid w:val="00F16F65"/>
    <w:rsid w:val="00F17AFC"/>
    <w:rsid w:val="00F26DFE"/>
    <w:rsid w:val="00F33615"/>
    <w:rsid w:val="00F33E7F"/>
    <w:rsid w:val="00F3697C"/>
    <w:rsid w:val="00F36DAA"/>
    <w:rsid w:val="00F40E26"/>
    <w:rsid w:val="00F41083"/>
    <w:rsid w:val="00F4213C"/>
    <w:rsid w:val="00F423CA"/>
    <w:rsid w:val="00F46AC2"/>
    <w:rsid w:val="00F556D5"/>
    <w:rsid w:val="00F617BA"/>
    <w:rsid w:val="00F62027"/>
    <w:rsid w:val="00F64F4B"/>
    <w:rsid w:val="00F662AF"/>
    <w:rsid w:val="00F716CE"/>
    <w:rsid w:val="00F81D84"/>
    <w:rsid w:val="00F82012"/>
    <w:rsid w:val="00F8248A"/>
    <w:rsid w:val="00F846E2"/>
    <w:rsid w:val="00F8515E"/>
    <w:rsid w:val="00F857CB"/>
    <w:rsid w:val="00F87EE2"/>
    <w:rsid w:val="00F953AE"/>
    <w:rsid w:val="00FA3D80"/>
    <w:rsid w:val="00FA47DD"/>
    <w:rsid w:val="00FA7B2D"/>
    <w:rsid w:val="00FB0569"/>
    <w:rsid w:val="00FB3E51"/>
    <w:rsid w:val="00FB3F21"/>
    <w:rsid w:val="00FC15B0"/>
    <w:rsid w:val="00FC5013"/>
    <w:rsid w:val="00FC5BB5"/>
    <w:rsid w:val="00FE09F9"/>
    <w:rsid w:val="00FE22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3051B"/>
  <w15:chartTrackingRefBased/>
  <w15:docId w15:val="{CD708B92-CC52-4F1C-8FA7-A93D5D8B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432A2"/>
  </w:style>
  <w:style w:type="paragraph" w:styleId="Paragraphedeliste">
    <w:name w:val="List Paragraph"/>
    <w:basedOn w:val="Normal"/>
    <w:uiPriority w:val="34"/>
    <w:qFormat/>
    <w:rsid w:val="005432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orttext">
    <w:name w:val="shorttext"/>
    <w:basedOn w:val="Policepardfaut"/>
    <w:rsid w:val="005432A2"/>
  </w:style>
  <w:style w:type="paragraph" w:styleId="Textedebulles">
    <w:name w:val="Balloon Text"/>
    <w:basedOn w:val="Normal"/>
    <w:link w:val="TextedebullesCar"/>
    <w:uiPriority w:val="99"/>
    <w:semiHidden/>
    <w:unhideWhenUsed/>
    <w:rsid w:val="00B827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275E"/>
    <w:rPr>
      <w:rFonts w:ascii="Segoe UI" w:hAnsi="Segoe UI" w:cs="Segoe UI"/>
      <w:sz w:val="18"/>
      <w:szCs w:val="18"/>
    </w:rPr>
  </w:style>
  <w:style w:type="paragraph" w:styleId="En-tte">
    <w:name w:val="header"/>
    <w:basedOn w:val="Normal"/>
    <w:link w:val="En-tteCar"/>
    <w:uiPriority w:val="99"/>
    <w:unhideWhenUsed/>
    <w:rsid w:val="00756075"/>
    <w:pPr>
      <w:tabs>
        <w:tab w:val="center" w:pos="4513"/>
        <w:tab w:val="right" w:pos="9026"/>
      </w:tabs>
      <w:spacing w:after="0" w:line="240" w:lineRule="auto"/>
    </w:pPr>
  </w:style>
  <w:style w:type="character" w:customStyle="1" w:styleId="En-tteCar">
    <w:name w:val="En-tête Car"/>
    <w:basedOn w:val="Policepardfaut"/>
    <w:link w:val="En-tte"/>
    <w:uiPriority w:val="99"/>
    <w:rsid w:val="00756075"/>
  </w:style>
  <w:style w:type="paragraph" w:styleId="Pieddepage">
    <w:name w:val="footer"/>
    <w:basedOn w:val="Normal"/>
    <w:link w:val="PieddepageCar"/>
    <w:uiPriority w:val="99"/>
    <w:unhideWhenUsed/>
    <w:rsid w:val="0075607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56075"/>
  </w:style>
  <w:style w:type="table" w:styleId="Grilledutableau">
    <w:name w:val="Table Grid"/>
    <w:basedOn w:val="TableauNormal"/>
    <w:uiPriority w:val="39"/>
    <w:rsid w:val="00EC2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14035"/>
    <w:rPr>
      <w:color w:val="808080"/>
    </w:rPr>
  </w:style>
  <w:style w:type="character" w:styleId="Marquedecommentaire">
    <w:name w:val="annotation reference"/>
    <w:basedOn w:val="Policepardfaut"/>
    <w:uiPriority w:val="99"/>
    <w:semiHidden/>
    <w:unhideWhenUsed/>
    <w:rsid w:val="004F54B9"/>
    <w:rPr>
      <w:sz w:val="16"/>
      <w:szCs w:val="16"/>
    </w:rPr>
  </w:style>
  <w:style w:type="paragraph" w:styleId="Commentaire">
    <w:name w:val="annotation text"/>
    <w:basedOn w:val="Normal"/>
    <w:link w:val="CommentaireCar"/>
    <w:uiPriority w:val="99"/>
    <w:unhideWhenUsed/>
    <w:rsid w:val="004F54B9"/>
    <w:pPr>
      <w:spacing w:line="240" w:lineRule="auto"/>
    </w:pPr>
    <w:rPr>
      <w:sz w:val="20"/>
      <w:szCs w:val="20"/>
    </w:rPr>
  </w:style>
  <w:style w:type="character" w:customStyle="1" w:styleId="CommentaireCar">
    <w:name w:val="Commentaire Car"/>
    <w:basedOn w:val="Policepardfaut"/>
    <w:link w:val="Commentaire"/>
    <w:uiPriority w:val="99"/>
    <w:rsid w:val="004F54B9"/>
    <w:rPr>
      <w:sz w:val="20"/>
      <w:szCs w:val="20"/>
    </w:rPr>
  </w:style>
  <w:style w:type="paragraph" w:styleId="Objetducommentaire">
    <w:name w:val="annotation subject"/>
    <w:basedOn w:val="Commentaire"/>
    <w:next w:val="Commentaire"/>
    <w:link w:val="ObjetducommentaireCar"/>
    <w:uiPriority w:val="99"/>
    <w:semiHidden/>
    <w:unhideWhenUsed/>
    <w:rsid w:val="004F54B9"/>
    <w:rPr>
      <w:b/>
      <w:bCs/>
    </w:rPr>
  </w:style>
  <w:style w:type="character" w:customStyle="1" w:styleId="ObjetducommentaireCar">
    <w:name w:val="Objet du commentaire Car"/>
    <w:basedOn w:val="CommentaireCar"/>
    <w:link w:val="Objetducommentaire"/>
    <w:uiPriority w:val="99"/>
    <w:semiHidden/>
    <w:rsid w:val="004F54B9"/>
    <w:rPr>
      <w:b/>
      <w:bCs/>
      <w:sz w:val="20"/>
      <w:szCs w:val="20"/>
    </w:rPr>
  </w:style>
  <w:style w:type="paragraph" w:customStyle="1" w:styleId="pf0">
    <w:name w:val="pf0"/>
    <w:basedOn w:val="Normal"/>
    <w:rsid w:val="003F7D2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Policepardfaut"/>
    <w:rsid w:val="003F7D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4379">
      <w:bodyDiv w:val="1"/>
      <w:marLeft w:val="0"/>
      <w:marRight w:val="0"/>
      <w:marTop w:val="0"/>
      <w:marBottom w:val="0"/>
      <w:divBdr>
        <w:top w:val="none" w:sz="0" w:space="0" w:color="auto"/>
        <w:left w:val="none" w:sz="0" w:space="0" w:color="auto"/>
        <w:bottom w:val="none" w:sz="0" w:space="0" w:color="auto"/>
        <w:right w:val="none" w:sz="0" w:space="0" w:color="auto"/>
      </w:divBdr>
    </w:div>
    <w:div w:id="393090744">
      <w:bodyDiv w:val="1"/>
      <w:marLeft w:val="0"/>
      <w:marRight w:val="0"/>
      <w:marTop w:val="0"/>
      <w:marBottom w:val="0"/>
      <w:divBdr>
        <w:top w:val="none" w:sz="0" w:space="0" w:color="auto"/>
        <w:left w:val="none" w:sz="0" w:space="0" w:color="auto"/>
        <w:bottom w:val="none" w:sz="0" w:space="0" w:color="auto"/>
        <w:right w:val="none" w:sz="0" w:space="0" w:color="auto"/>
      </w:divBdr>
    </w:div>
    <w:div w:id="478033039">
      <w:bodyDiv w:val="1"/>
      <w:marLeft w:val="0"/>
      <w:marRight w:val="0"/>
      <w:marTop w:val="0"/>
      <w:marBottom w:val="0"/>
      <w:divBdr>
        <w:top w:val="none" w:sz="0" w:space="0" w:color="auto"/>
        <w:left w:val="none" w:sz="0" w:space="0" w:color="auto"/>
        <w:bottom w:val="none" w:sz="0" w:space="0" w:color="auto"/>
        <w:right w:val="none" w:sz="0" w:space="0" w:color="auto"/>
      </w:divBdr>
      <w:divsChild>
        <w:div w:id="1858545100">
          <w:marLeft w:val="0"/>
          <w:marRight w:val="0"/>
          <w:marTop w:val="0"/>
          <w:marBottom w:val="0"/>
          <w:divBdr>
            <w:top w:val="none" w:sz="0" w:space="0" w:color="auto"/>
            <w:left w:val="none" w:sz="0" w:space="0" w:color="auto"/>
            <w:bottom w:val="none" w:sz="0" w:space="0" w:color="auto"/>
            <w:right w:val="none" w:sz="0" w:space="0" w:color="auto"/>
          </w:divBdr>
          <w:divsChild>
            <w:div w:id="685986594">
              <w:marLeft w:val="0"/>
              <w:marRight w:val="0"/>
              <w:marTop w:val="0"/>
              <w:marBottom w:val="0"/>
              <w:divBdr>
                <w:top w:val="none" w:sz="0" w:space="0" w:color="auto"/>
                <w:left w:val="none" w:sz="0" w:space="0" w:color="auto"/>
                <w:bottom w:val="none" w:sz="0" w:space="0" w:color="auto"/>
                <w:right w:val="none" w:sz="0" w:space="0" w:color="auto"/>
              </w:divBdr>
            </w:div>
            <w:div w:id="12145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5418">
      <w:bodyDiv w:val="1"/>
      <w:marLeft w:val="0"/>
      <w:marRight w:val="0"/>
      <w:marTop w:val="0"/>
      <w:marBottom w:val="0"/>
      <w:divBdr>
        <w:top w:val="none" w:sz="0" w:space="0" w:color="auto"/>
        <w:left w:val="none" w:sz="0" w:space="0" w:color="auto"/>
        <w:bottom w:val="none" w:sz="0" w:space="0" w:color="auto"/>
        <w:right w:val="none" w:sz="0" w:space="0" w:color="auto"/>
      </w:divBdr>
    </w:div>
    <w:div w:id="496697630">
      <w:bodyDiv w:val="1"/>
      <w:marLeft w:val="0"/>
      <w:marRight w:val="0"/>
      <w:marTop w:val="0"/>
      <w:marBottom w:val="0"/>
      <w:divBdr>
        <w:top w:val="none" w:sz="0" w:space="0" w:color="auto"/>
        <w:left w:val="none" w:sz="0" w:space="0" w:color="auto"/>
        <w:bottom w:val="none" w:sz="0" w:space="0" w:color="auto"/>
        <w:right w:val="none" w:sz="0" w:space="0" w:color="auto"/>
      </w:divBdr>
    </w:div>
    <w:div w:id="809437852">
      <w:bodyDiv w:val="1"/>
      <w:marLeft w:val="0"/>
      <w:marRight w:val="0"/>
      <w:marTop w:val="0"/>
      <w:marBottom w:val="0"/>
      <w:divBdr>
        <w:top w:val="none" w:sz="0" w:space="0" w:color="auto"/>
        <w:left w:val="none" w:sz="0" w:space="0" w:color="auto"/>
        <w:bottom w:val="none" w:sz="0" w:space="0" w:color="auto"/>
        <w:right w:val="none" w:sz="0" w:space="0" w:color="auto"/>
      </w:divBdr>
    </w:div>
    <w:div w:id="1205949154">
      <w:bodyDiv w:val="1"/>
      <w:marLeft w:val="0"/>
      <w:marRight w:val="0"/>
      <w:marTop w:val="0"/>
      <w:marBottom w:val="0"/>
      <w:divBdr>
        <w:top w:val="none" w:sz="0" w:space="0" w:color="auto"/>
        <w:left w:val="none" w:sz="0" w:space="0" w:color="auto"/>
        <w:bottom w:val="none" w:sz="0" w:space="0" w:color="auto"/>
        <w:right w:val="none" w:sz="0" w:space="0" w:color="auto"/>
      </w:divBdr>
    </w:div>
    <w:div w:id="1337533334">
      <w:bodyDiv w:val="1"/>
      <w:marLeft w:val="0"/>
      <w:marRight w:val="0"/>
      <w:marTop w:val="0"/>
      <w:marBottom w:val="0"/>
      <w:divBdr>
        <w:top w:val="none" w:sz="0" w:space="0" w:color="auto"/>
        <w:left w:val="none" w:sz="0" w:space="0" w:color="auto"/>
        <w:bottom w:val="none" w:sz="0" w:space="0" w:color="auto"/>
        <w:right w:val="none" w:sz="0" w:space="0" w:color="auto"/>
      </w:divBdr>
    </w:div>
    <w:div w:id="1473911633">
      <w:bodyDiv w:val="1"/>
      <w:marLeft w:val="0"/>
      <w:marRight w:val="0"/>
      <w:marTop w:val="0"/>
      <w:marBottom w:val="0"/>
      <w:divBdr>
        <w:top w:val="none" w:sz="0" w:space="0" w:color="auto"/>
        <w:left w:val="none" w:sz="0" w:space="0" w:color="auto"/>
        <w:bottom w:val="none" w:sz="0" w:space="0" w:color="auto"/>
        <w:right w:val="none" w:sz="0" w:space="0" w:color="auto"/>
      </w:divBdr>
    </w:div>
    <w:div w:id="1661693230">
      <w:bodyDiv w:val="1"/>
      <w:marLeft w:val="0"/>
      <w:marRight w:val="0"/>
      <w:marTop w:val="0"/>
      <w:marBottom w:val="0"/>
      <w:divBdr>
        <w:top w:val="none" w:sz="0" w:space="0" w:color="auto"/>
        <w:left w:val="none" w:sz="0" w:space="0" w:color="auto"/>
        <w:bottom w:val="none" w:sz="0" w:space="0" w:color="auto"/>
        <w:right w:val="none" w:sz="0" w:space="0" w:color="auto"/>
      </w:divBdr>
      <w:divsChild>
        <w:div w:id="1545749922">
          <w:marLeft w:val="0"/>
          <w:marRight w:val="0"/>
          <w:marTop w:val="0"/>
          <w:marBottom w:val="0"/>
          <w:divBdr>
            <w:top w:val="none" w:sz="0" w:space="0" w:color="auto"/>
            <w:left w:val="none" w:sz="0" w:space="0" w:color="auto"/>
            <w:bottom w:val="none" w:sz="0" w:space="0" w:color="auto"/>
            <w:right w:val="none" w:sz="0" w:space="0" w:color="auto"/>
          </w:divBdr>
          <w:divsChild>
            <w:div w:id="46072081">
              <w:marLeft w:val="0"/>
              <w:marRight w:val="0"/>
              <w:marTop w:val="0"/>
              <w:marBottom w:val="0"/>
              <w:divBdr>
                <w:top w:val="none" w:sz="0" w:space="0" w:color="auto"/>
                <w:left w:val="none" w:sz="0" w:space="0" w:color="auto"/>
                <w:bottom w:val="none" w:sz="0" w:space="0" w:color="auto"/>
                <w:right w:val="none" w:sz="0" w:space="0" w:color="auto"/>
              </w:divBdr>
            </w:div>
            <w:div w:id="569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246A9-8CAB-44D5-893A-1AE1D2D4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3643</Words>
  <Characters>20433</Characters>
  <Application>Microsoft Office Word</Application>
  <DocSecurity>0</DocSecurity>
  <Lines>400</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UNHCR</Company>
  <LinksUpToDate>false</LinksUpToDate>
  <CharactersWithSpaces>24754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DiPretoro</dc:creator>
  <cp:keywords/>
  <dc:description/>
  <cp:lastModifiedBy>Solange Umuhire</cp:lastModifiedBy>
  <cp:revision>33</cp:revision>
  <cp:lastPrinted>2019-07-18T15:14:00Z</cp:lastPrinted>
  <dcterms:created xsi:type="dcterms:W3CDTF">2024-06-20T19:50:00Z</dcterms:created>
  <dcterms:modified xsi:type="dcterms:W3CDTF">2024-06-25T11:09:00Z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480ed4a13f3d5babcaf3328633ee62f77e3f345380da0b18ba4c31bb62d916c0</vt:lpwstr>
  </property>
</Properties>
</file>