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2B00A9D" w:rsidR="00AA1640" w:rsidRPr="002C4B58" w:rsidRDefault="002C0000" w:rsidP="00E61BCD">
      <w:pPr>
        <w:spacing w:before="120" w:after="0" w:line="240" w:lineRule="auto"/>
        <w:jc w:val="both"/>
        <w:rPr>
          <w:rFonts w:asciiTheme="minorHAnsi" w:eastAsia="Arial" w:hAnsiTheme="minorHAnsi" w:cs="Arial"/>
          <w:b/>
          <w:color w:val="1F3864"/>
          <w:sz w:val="21"/>
          <w:szCs w:val="21"/>
          <w:u w:val="single"/>
        </w:rPr>
      </w:pPr>
      <w:r>
        <w:rPr>
          <w:rFonts w:asciiTheme="minorHAnsi" w:hAnsiTheme="minorHAnsi"/>
          <w:b/>
          <w:color w:val="1F3864"/>
          <w:sz w:val="21"/>
          <w:szCs w:val="21"/>
          <w:u w:val="single"/>
        </w:rPr>
        <w:t>I. Contexte</w:t>
      </w:r>
    </w:p>
    <w:p w14:paraId="00000002" w14:textId="77777777" w:rsidR="00AA1640" w:rsidRPr="002C4B58" w:rsidRDefault="002C0000">
      <w:pPr>
        <w:pBdr>
          <w:top w:val="nil"/>
          <w:left w:val="nil"/>
          <w:bottom w:val="nil"/>
          <w:right w:val="nil"/>
          <w:between w:val="nil"/>
        </w:pBdr>
        <w:spacing w:after="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 xml:space="preserve">Les interventions monétaires et les distributions en nature constituent les méthodes principales d’offre d’assistance et de services. Les interventions monétaires visent à offrir aux réfugiés, aux demandeurs d’asile, aux rapatriés, aux personnes déplacées à l’intérieur du territoire et aux apatrides une plus grande dignité pour répondre à leurs besoins. Si elles sont conçues et mises en œuvre de manière appropriée, les interventions monétaires peuvent réduire les risques pour la protection, favoriser les solutions et améliorer l’efficacité et l’effectivité de la mise en œuvre des programmes. Elles peuvent également contribuer à l’économie locale, permettre l’inclusion financière et favoriser les relations positives avec les communautés hôtes. </w:t>
      </w:r>
    </w:p>
    <w:p w14:paraId="00000005" w14:textId="77777777" w:rsidR="00AA1640" w:rsidRPr="002C4B58" w:rsidRDefault="00AA1640" w:rsidP="00475A8E">
      <w:pPr>
        <w:pBdr>
          <w:top w:val="nil"/>
          <w:left w:val="nil"/>
          <w:bottom w:val="nil"/>
          <w:right w:val="nil"/>
          <w:between w:val="nil"/>
        </w:pBdr>
        <w:spacing w:after="0" w:line="240" w:lineRule="auto"/>
        <w:jc w:val="both"/>
        <w:rPr>
          <w:rFonts w:asciiTheme="minorHAnsi" w:eastAsia="Arial" w:hAnsiTheme="minorHAnsi" w:cs="Arial"/>
          <w:color w:val="C00000"/>
          <w:sz w:val="21"/>
          <w:szCs w:val="21"/>
        </w:rPr>
      </w:pPr>
    </w:p>
    <w:p w14:paraId="73DED440" w14:textId="1260F29B" w:rsidR="00475A8E" w:rsidRPr="00475A8E" w:rsidRDefault="002C0000" w:rsidP="00475A8E">
      <w:pPr>
        <w:pBdr>
          <w:top w:val="nil"/>
          <w:left w:val="nil"/>
          <w:bottom w:val="nil"/>
          <w:right w:val="nil"/>
          <w:between w:val="nil"/>
        </w:pBdr>
        <w:spacing w:after="0" w:line="240" w:lineRule="auto"/>
        <w:jc w:val="both"/>
        <w:rPr>
          <w:rFonts w:asciiTheme="minorHAnsi" w:hAnsiTheme="minorHAnsi"/>
          <w:color w:val="000000"/>
          <w:sz w:val="21"/>
          <w:szCs w:val="21"/>
        </w:rPr>
      </w:pPr>
      <w:r>
        <w:rPr>
          <w:rFonts w:asciiTheme="minorHAnsi" w:hAnsiTheme="minorHAnsi"/>
          <w:sz w:val="21"/>
          <w:szCs w:val="21"/>
        </w:rPr>
        <w:t>Les populations relevant du mandat du HCR en</w:t>
      </w:r>
      <w:r>
        <w:rPr>
          <w:rFonts w:asciiTheme="minorHAnsi" w:hAnsiTheme="minorHAnsi"/>
          <w:color w:val="C00000"/>
          <w:sz w:val="21"/>
          <w:szCs w:val="21"/>
        </w:rPr>
        <w:t xml:space="preserve"> </w:t>
      </w:r>
      <w:r w:rsidR="00475A8E">
        <w:rPr>
          <w:rFonts w:asciiTheme="minorHAnsi" w:hAnsiTheme="minorHAnsi"/>
          <w:color w:val="C00000"/>
          <w:sz w:val="21"/>
          <w:szCs w:val="21"/>
        </w:rPr>
        <w:t>Mauritanie</w:t>
      </w:r>
      <w:r>
        <w:rPr>
          <w:rFonts w:asciiTheme="minorHAnsi" w:hAnsiTheme="minorHAnsi"/>
          <w:color w:val="000000"/>
          <w:sz w:val="21"/>
          <w:szCs w:val="21"/>
        </w:rPr>
        <w:t>, qui bénéficieront de transferts monétaires, comprennent les demandeurs d’asile</w:t>
      </w:r>
      <w:r w:rsidR="00475A8E">
        <w:rPr>
          <w:rFonts w:asciiTheme="minorHAnsi" w:hAnsiTheme="minorHAnsi"/>
          <w:color w:val="000000"/>
          <w:sz w:val="21"/>
          <w:szCs w:val="21"/>
        </w:rPr>
        <w:t xml:space="preserve"> et </w:t>
      </w:r>
      <w:r>
        <w:rPr>
          <w:rFonts w:asciiTheme="minorHAnsi" w:hAnsiTheme="minorHAnsi"/>
          <w:color w:val="000000"/>
          <w:sz w:val="21"/>
          <w:szCs w:val="21"/>
        </w:rPr>
        <w:t xml:space="preserve">les </w:t>
      </w:r>
      <w:r w:rsidRPr="00475A8E">
        <w:rPr>
          <w:rFonts w:asciiTheme="minorHAnsi" w:hAnsiTheme="minorHAnsi"/>
          <w:color w:val="000000"/>
          <w:sz w:val="21"/>
          <w:szCs w:val="21"/>
          <w:highlight w:val="yellow"/>
        </w:rPr>
        <w:t xml:space="preserve">réfugiés. </w:t>
      </w:r>
      <w:r w:rsidR="00475A8E" w:rsidRPr="00475A8E">
        <w:rPr>
          <w:rFonts w:asciiTheme="minorHAnsi" w:hAnsiTheme="minorHAnsi"/>
          <w:color w:val="000000"/>
          <w:sz w:val="21"/>
          <w:szCs w:val="21"/>
          <w:highlight w:val="yellow"/>
        </w:rPr>
        <w:t>Il y a un total de 33 408 ménages avec 118 503 réfugiés et demandeurs d'asile, dont 92 375 réfugiés maliens vivant dans le camp de M'</w:t>
      </w:r>
      <w:proofErr w:type="spellStart"/>
      <w:r w:rsidR="00475A8E" w:rsidRPr="00475A8E">
        <w:rPr>
          <w:rFonts w:asciiTheme="minorHAnsi" w:hAnsiTheme="minorHAnsi"/>
          <w:color w:val="000000"/>
          <w:sz w:val="21"/>
          <w:szCs w:val="21"/>
          <w:highlight w:val="yellow"/>
        </w:rPr>
        <w:t>bera</w:t>
      </w:r>
      <w:proofErr w:type="spellEnd"/>
      <w:r w:rsidR="00475A8E" w:rsidRPr="00475A8E">
        <w:rPr>
          <w:rFonts w:asciiTheme="minorHAnsi" w:hAnsiTheme="minorHAnsi"/>
          <w:color w:val="000000"/>
          <w:sz w:val="21"/>
          <w:szCs w:val="21"/>
          <w:highlight w:val="yellow"/>
        </w:rPr>
        <w:t xml:space="preserve">, 1 313 individus hors du camp, 7 119 à Nema et 17 696 dans les zones urbaines.   Récemment, l'opération a été confrontée à un afflux massif de réfugiés maliens dans la région </w:t>
      </w:r>
      <w:proofErr w:type="spellStart"/>
      <w:r w:rsidR="00475A8E" w:rsidRPr="00475A8E">
        <w:rPr>
          <w:rFonts w:asciiTheme="minorHAnsi" w:hAnsiTheme="minorHAnsi"/>
          <w:color w:val="000000"/>
          <w:sz w:val="21"/>
          <w:szCs w:val="21"/>
        </w:rPr>
        <w:t>Hodh</w:t>
      </w:r>
      <w:proofErr w:type="spellEnd"/>
      <w:r w:rsidR="00475A8E" w:rsidRPr="00475A8E">
        <w:rPr>
          <w:rFonts w:asciiTheme="minorHAnsi" w:hAnsiTheme="minorHAnsi"/>
          <w:color w:val="000000"/>
          <w:sz w:val="21"/>
          <w:szCs w:val="21"/>
        </w:rPr>
        <w:t xml:space="preserve"> Ech </w:t>
      </w:r>
      <w:proofErr w:type="spellStart"/>
      <w:r w:rsidR="00475A8E" w:rsidRPr="00475A8E">
        <w:rPr>
          <w:rFonts w:asciiTheme="minorHAnsi" w:hAnsiTheme="minorHAnsi"/>
          <w:color w:val="000000"/>
          <w:sz w:val="21"/>
          <w:szCs w:val="21"/>
        </w:rPr>
        <w:t>Chargui</w:t>
      </w:r>
      <w:proofErr w:type="spellEnd"/>
      <w:r w:rsidR="00475A8E" w:rsidRPr="00475A8E">
        <w:rPr>
          <w:rFonts w:asciiTheme="minorHAnsi" w:hAnsiTheme="minorHAnsi"/>
          <w:color w:val="000000"/>
          <w:sz w:val="21"/>
          <w:szCs w:val="21"/>
          <w:highlight w:val="yellow"/>
        </w:rPr>
        <w:t>. Ces réfugiés sont accueillis par les communautés locales, qui sont elles aussi extrêmement vulnérables. L'assistance fournie par le HCR et ses partenaires concerne également les réfugiés et les communautés d'accueil les plus vulnérables. Les membres des communautés d'accueil bénéficiant de l'assistance du HCR doivent présenter leur carte d'identité nationale, leur passeport ou leur permis de conduire au FSP afin d'accéder à l'assistance</w:t>
      </w:r>
      <w:r w:rsidR="00475A8E" w:rsidRPr="00475A8E">
        <w:rPr>
          <w:rFonts w:asciiTheme="minorHAnsi" w:hAnsiTheme="minorHAnsi"/>
          <w:color w:val="000000"/>
          <w:sz w:val="21"/>
          <w:szCs w:val="21"/>
        </w:rPr>
        <w:t>.</w:t>
      </w:r>
    </w:p>
    <w:p w14:paraId="46819BC0" w14:textId="77777777" w:rsidR="00475A8E" w:rsidRPr="00475A8E" w:rsidRDefault="00475A8E" w:rsidP="00475A8E">
      <w:pPr>
        <w:pBdr>
          <w:top w:val="nil"/>
          <w:left w:val="nil"/>
          <w:bottom w:val="nil"/>
          <w:right w:val="nil"/>
          <w:between w:val="nil"/>
        </w:pBdr>
        <w:spacing w:after="0" w:line="240" w:lineRule="auto"/>
        <w:jc w:val="both"/>
        <w:rPr>
          <w:rFonts w:asciiTheme="minorHAnsi" w:hAnsiTheme="minorHAnsi"/>
          <w:color w:val="000000"/>
          <w:sz w:val="21"/>
          <w:szCs w:val="21"/>
        </w:rPr>
      </w:pPr>
    </w:p>
    <w:p w14:paraId="00000006" w14:textId="20DAE83B" w:rsidR="00AA1640" w:rsidRPr="002C4B58" w:rsidRDefault="002C0000" w:rsidP="00475A8E">
      <w:pPr>
        <w:pBdr>
          <w:top w:val="nil"/>
          <w:left w:val="nil"/>
          <w:bottom w:val="nil"/>
          <w:right w:val="nil"/>
          <w:between w:val="nil"/>
        </w:pBdr>
        <w:spacing w:after="0" w:line="240" w:lineRule="auto"/>
        <w:jc w:val="both"/>
        <w:rPr>
          <w:rFonts w:asciiTheme="minorHAnsi" w:eastAsia="Arial" w:hAnsiTheme="minorHAnsi" w:cs="Arial"/>
          <w:color w:val="000000"/>
          <w:sz w:val="21"/>
          <w:szCs w:val="21"/>
        </w:rPr>
      </w:pPr>
      <w:r>
        <w:rPr>
          <w:rFonts w:asciiTheme="minorHAnsi" w:hAnsiTheme="minorHAnsi"/>
          <w:sz w:val="21"/>
          <w:szCs w:val="21"/>
        </w:rPr>
        <w:t xml:space="preserve">En ce qui concerne les réfugiés et les demandeurs d’asile, </w:t>
      </w:r>
      <w:r w:rsidR="00EF1BB4" w:rsidRPr="00EF1BB4">
        <w:rPr>
          <w:rFonts w:asciiTheme="minorHAnsi" w:hAnsiTheme="minorHAnsi"/>
          <w:i/>
          <w:iCs/>
          <w:color w:val="C00000"/>
          <w:sz w:val="21"/>
          <w:szCs w:val="21"/>
          <w:highlight w:val="yellow"/>
        </w:rPr>
        <w:t>chaque bénéficiaire détient une carte de réfugié, un certificat de réfugié, une preuve de demande d'asile ou une carte familiale (fournie par le HCR) avec un numéro de dossier unique, reconnu par le ministère de l'intérieur comme une pièce d'identité valide.</w:t>
      </w:r>
      <w:r w:rsidR="00EF1BB4" w:rsidRPr="00EF1BB4">
        <w:rPr>
          <w:rFonts w:asciiTheme="minorHAnsi" w:hAnsiTheme="minorHAnsi"/>
          <w:i/>
          <w:iCs/>
          <w:color w:val="C00000"/>
          <w:sz w:val="21"/>
          <w:szCs w:val="21"/>
        </w:rPr>
        <w:t xml:space="preserve"> </w:t>
      </w:r>
      <w:r>
        <w:rPr>
          <w:rFonts w:asciiTheme="minorHAnsi" w:hAnsiTheme="minorHAnsi"/>
          <w:color w:val="000000"/>
          <w:sz w:val="21"/>
          <w:szCs w:val="21"/>
        </w:rPr>
        <w:t>Ces documents doivent être utilisés comme pièces d’identité à la place d’une carte d’identité nationale pour les transferts effectués au nom du HCR. Le prestataire de services financiers doit tenir compte du fait que ces limites/restrictions applicables en matière d’identification peuvent affecter sa capacité à «</w:t>
      </w:r>
      <w:r w:rsidR="00063B2D">
        <w:rPr>
          <w:rFonts w:asciiTheme="minorHAnsi" w:hAnsiTheme="minorHAnsi"/>
          <w:color w:val="000000"/>
          <w:sz w:val="21"/>
          <w:szCs w:val="21"/>
        </w:rPr>
        <w:t> </w:t>
      </w:r>
      <w:r>
        <w:rPr>
          <w:rFonts w:asciiTheme="minorHAnsi" w:hAnsiTheme="minorHAnsi"/>
          <w:color w:val="000000"/>
          <w:sz w:val="21"/>
          <w:szCs w:val="21"/>
        </w:rPr>
        <w:t>connaître son client</w:t>
      </w:r>
      <w:r w:rsidR="00063B2D">
        <w:rPr>
          <w:rFonts w:asciiTheme="minorHAnsi" w:hAnsiTheme="minorHAnsi"/>
          <w:color w:val="000000"/>
          <w:sz w:val="21"/>
          <w:szCs w:val="21"/>
        </w:rPr>
        <w:t> </w:t>
      </w:r>
      <w:r>
        <w:rPr>
          <w:rFonts w:asciiTheme="minorHAnsi" w:hAnsiTheme="minorHAnsi"/>
          <w:color w:val="000000"/>
          <w:sz w:val="21"/>
          <w:szCs w:val="21"/>
        </w:rPr>
        <w:t>» et à fournir ses services.</w:t>
      </w:r>
    </w:p>
    <w:p w14:paraId="00000007" w14:textId="77777777" w:rsidR="00AA1640" w:rsidRPr="002C4B58" w:rsidRDefault="00AA1640">
      <w:pPr>
        <w:spacing w:after="0" w:line="240" w:lineRule="auto"/>
        <w:jc w:val="both"/>
        <w:rPr>
          <w:rFonts w:asciiTheme="minorHAnsi" w:eastAsia="Arial" w:hAnsiTheme="minorHAnsi" w:cs="Arial"/>
          <w:sz w:val="21"/>
          <w:szCs w:val="21"/>
        </w:rPr>
      </w:pPr>
    </w:p>
    <w:p w14:paraId="00000009" w14:textId="409769EC" w:rsidR="00AA1640" w:rsidRDefault="002C0000" w:rsidP="006418F2">
      <w:pPr>
        <w:spacing w:after="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D’autres contraintes et possibilités existent pour les services de transferts monétaires, notamment, sans s’y limiter :</w:t>
      </w:r>
    </w:p>
    <w:p w14:paraId="78A146D8" w14:textId="77777777" w:rsidR="008F7878" w:rsidRPr="002C4B58" w:rsidRDefault="008F7878">
      <w:pPr>
        <w:spacing w:after="0" w:line="240" w:lineRule="auto"/>
        <w:jc w:val="both"/>
        <w:rPr>
          <w:rFonts w:asciiTheme="minorHAnsi" w:eastAsia="Arial" w:hAnsiTheme="minorHAnsi" w:cs="Arial"/>
          <w:color w:val="000000"/>
          <w:sz w:val="21"/>
          <w:szCs w:val="21"/>
        </w:rPr>
      </w:pPr>
    </w:p>
    <w:p w14:paraId="71745B01" w14:textId="251FDBB4" w:rsidR="00A35579" w:rsidRPr="00A35579" w:rsidRDefault="00A35579" w:rsidP="00A35579">
      <w:pPr>
        <w:spacing w:after="0" w:line="240" w:lineRule="auto"/>
        <w:ind w:left="360" w:hanging="360"/>
        <w:jc w:val="both"/>
        <w:rPr>
          <w:rFonts w:asciiTheme="minorHAnsi" w:eastAsia="Arial" w:hAnsiTheme="minorHAnsi" w:cs="Arial"/>
          <w:color w:val="C00000"/>
          <w:sz w:val="21"/>
          <w:szCs w:val="21"/>
          <w:highlight w:val="yellow"/>
        </w:rPr>
      </w:pPr>
      <w:r w:rsidRPr="00A35579">
        <w:rPr>
          <w:rFonts w:asciiTheme="minorHAnsi" w:eastAsia="Arial" w:hAnsiTheme="minorHAnsi" w:cs="Arial"/>
          <w:color w:val="C00000"/>
          <w:sz w:val="21"/>
          <w:szCs w:val="21"/>
        </w:rPr>
        <w:t xml:space="preserve">- </w:t>
      </w:r>
      <w:r w:rsidRPr="00A35579">
        <w:rPr>
          <w:rFonts w:asciiTheme="minorHAnsi" w:eastAsia="Arial" w:hAnsiTheme="minorHAnsi" w:cs="Arial"/>
          <w:color w:val="C00000"/>
          <w:sz w:val="21"/>
          <w:szCs w:val="21"/>
          <w:highlight w:val="yellow"/>
        </w:rPr>
        <w:t>Certaines de ces populations s</w:t>
      </w:r>
      <w:r>
        <w:rPr>
          <w:rFonts w:asciiTheme="minorHAnsi" w:eastAsia="Arial" w:hAnsiTheme="minorHAnsi" w:cs="Arial"/>
          <w:color w:val="C00000"/>
          <w:sz w:val="21"/>
          <w:szCs w:val="21"/>
          <w:highlight w:val="yellow"/>
        </w:rPr>
        <w:t xml:space="preserve">e déplacent souvent </w:t>
      </w:r>
      <w:r w:rsidRPr="00A35579">
        <w:rPr>
          <w:rFonts w:asciiTheme="minorHAnsi" w:eastAsia="Arial" w:hAnsiTheme="minorHAnsi" w:cs="Arial"/>
          <w:color w:val="C00000"/>
          <w:sz w:val="21"/>
          <w:szCs w:val="21"/>
          <w:highlight w:val="yellow"/>
        </w:rPr>
        <w:t>et peuvent être amenées à changer de lieu et de zone d'installation en très peu de temps ;</w:t>
      </w:r>
    </w:p>
    <w:p w14:paraId="17D4315F" w14:textId="77777777" w:rsidR="00A35579" w:rsidRPr="00A35579" w:rsidRDefault="00A35579" w:rsidP="00A35579">
      <w:pPr>
        <w:spacing w:after="0" w:line="240" w:lineRule="auto"/>
        <w:ind w:left="360" w:hanging="360"/>
        <w:jc w:val="both"/>
        <w:rPr>
          <w:rFonts w:asciiTheme="minorHAnsi" w:eastAsia="Arial" w:hAnsiTheme="minorHAnsi" w:cs="Arial"/>
          <w:color w:val="C00000"/>
          <w:sz w:val="21"/>
          <w:szCs w:val="21"/>
          <w:highlight w:val="yellow"/>
        </w:rPr>
      </w:pPr>
      <w:r w:rsidRPr="00A35579">
        <w:rPr>
          <w:rFonts w:asciiTheme="minorHAnsi" w:eastAsia="Arial" w:hAnsiTheme="minorHAnsi" w:cs="Arial"/>
          <w:color w:val="C00000"/>
          <w:sz w:val="21"/>
          <w:szCs w:val="21"/>
          <w:highlight w:val="yellow"/>
        </w:rPr>
        <w:t>- La majorité de ces populations vivent dans des zones rurales isolées et/ou enclavées, éloignées ou non reliées aux principales villes ou villages disposant de services financiers (tels que des points de collecte/décaissement d'argent) ;</w:t>
      </w:r>
    </w:p>
    <w:p w14:paraId="4276D4AA" w14:textId="77777777" w:rsidR="00A35579" w:rsidRPr="00A35579" w:rsidRDefault="00A35579" w:rsidP="00A35579">
      <w:pPr>
        <w:spacing w:after="0" w:line="240" w:lineRule="auto"/>
        <w:ind w:left="360" w:hanging="360"/>
        <w:jc w:val="both"/>
        <w:rPr>
          <w:rFonts w:asciiTheme="minorHAnsi" w:eastAsia="Arial" w:hAnsiTheme="minorHAnsi" w:cs="Arial"/>
          <w:color w:val="C00000"/>
          <w:sz w:val="21"/>
          <w:szCs w:val="21"/>
          <w:highlight w:val="yellow"/>
        </w:rPr>
      </w:pPr>
      <w:r w:rsidRPr="00A35579">
        <w:rPr>
          <w:rFonts w:asciiTheme="minorHAnsi" w:eastAsia="Arial" w:hAnsiTheme="minorHAnsi" w:cs="Arial"/>
          <w:color w:val="C00000"/>
          <w:sz w:val="21"/>
          <w:szCs w:val="21"/>
          <w:highlight w:val="yellow"/>
        </w:rPr>
        <w:t>- Certaines de ces populations vivent dans des zones où le réseau téléphonique ou d'autres moyens de télécommunication ne sont pas toujours disponibles, ou sont très limités ou instables ;</w:t>
      </w:r>
    </w:p>
    <w:p w14:paraId="63C95EB7" w14:textId="77777777" w:rsidR="00A35579" w:rsidRPr="00A35579" w:rsidRDefault="00A35579" w:rsidP="00A35579">
      <w:pPr>
        <w:spacing w:after="0" w:line="240" w:lineRule="auto"/>
        <w:ind w:left="360" w:hanging="360"/>
        <w:jc w:val="both"/>
        <w:rPr>
          <w:rFonts w:asciiTheme="minorHAnsi" w:eastAsia="Arial" w:hAnsiTheme="minorHAnsi" w:cs="Arial"/>
          <w:color w:val="C00000"/>
          <w:sz w:val="21"/>
          <w:szCs w:val="21"/>
          <w:highlight w:val="yellow"/>
        </w:rPr>
      </w:pPr>
      <w:r w:rsidRPr="00A35579">
        <w:rPr>
          <w:rFonts w:asciiTheme="minorHAnsi" w:eastAsia="Arial" w:hAnsiTheme="minorHAnsi" w:cs="Arial"/>
          <w:color w:val="C00000"/>
          <w:sz w:val="21"/>
          <w:szCs w:val="21"/>
          <w:highlight w:val="yellow"/>
        </w:rPr>
        <w:t>- Certaines de ces populations ont une capacité limitée à parcourir de longues distances en dehors de leur zone d'installation et à accéder aux services financiers existants, tels que les points de retrait/décaissement d'argent ;</w:t>
      </w:r>
    </w:p>
    <w:p w14:paraId="3F436DF8" w14:textId="77777777" w:rsidR="00A35579" w:rsidRPr="00A35579" w:rsidRDefault="00A35579" w:rsidP="00A35579">
      <w:pPr>
        <w:spacing w:after="0" w:line="240" w:lineRule="auto"/>
        <w:ind w:left="360" w:hanging="360"/>
        <w:jc w:val="both"/>
        <w:rPr>
          <w:rFonts w:asciiTheme="minorHAnsi" w:eastAsia="Arial" w:hAnsiTheme="minorHAnsi" w:cs="Arial"/>
          <w:color w:val="C00000"/>
          <w:sz w:val="21"/>
          <w:szCs w:val="21"/>
          <w:highlight w:val="yellow"/>
        </w:rPr>
      </w:pPr>
      <w:r w:rsidRPr="00A35579">
        <w:rPr>
          <w:rFonts w:asciiTheme="minorHAnsi" w:eastAsia="Arial" w:hAnsiTheme="minorHAnsi" w:cs="Arial"/>
          <w:color w:val="C00000"/>
          <w:sz w:val="21"/>
          <w:szCs w:val="21"/>
          <w:highlight w:val="yellow"/>
        </w:rPr>
        <w:t xml:space="preserve">- Les taux d'analphabétisme sont élevés parmi certaines de ces populations ; </w:t>
      </w:r>
    </w:p>
    <w:p w14:paraId="0000000C" w14:textId="18DE949E" w:rsidR="00AA1640" w:rsidRDefault="00A35579" w:rsidP="00A35579">
      <w:pPr>
        <w:spacing w:after="0" w:line="240" w:lineRule="auto"/>
        <w:ind w:left="360" w:hanging="360"/>
        <w:jc w:val="both"/>
        <w:rPr>
          <w:rFonts w:asciiTheme="minorHAnsi" w:eastAsia="Arial" w:hAnsiTheme="minorHAnsi" w:cs="Arial"/>
          <w:color w:val="C00000"/>
          <w:sz w:val="21"/>
          <w:szCs w:val="21"/>
        </w:rPr>
      </w:pPr>
      <w:r w:rsidRPr="00A35579">
        <w:rPr>
          <w:rFonts w:asciiTheme="minorHAnsi" w:eastAsia="Arial" w:hAnsiTheme="minorHAnsi" w:cs="Arial"/>
          <w:color w:val="C00000"/>
          <w:sz w:val="21"/>
          <w:szCs w:val="21"/>
          <w:highlight w:val="yellow"/>
        </w:rPr>
        <w:t>- Le niveau de possession de téléphones portables est variable.</w:t>
      </w:r>
    </w:p>
    <w:p w14:paraId="057C6D41" w14:textId="77777777" w:rsidR="00A35579" w:rsidRDefault="00A35579" w:rsidP="00A35579">
      <w:pPr>
        <w:spacing w:after="0" w:line="240" w:lineRule="auto"/>
        <w:ind w:left="360" w:hanging="360"/>
        <w:jc w:val="both"/>
        <w:rPr>
          <w:rFonts w:asciiTheme="minorHAnsi" w:eastAsia="Arial" w:hAnsiTheme="minorHAnsi" w:cs="Arial"/>
          <w:color w:val="C00000"/>
          <w:sz w:val="21"/>
          <w:szCs w:val="21"/>
        </w:rPr>
      </w:pPr>
    </w:p>
    <w:p w14:paraId="47724BA5" w14:textId="77777777" w:rsidR="00A35579" w:rsidRPr="002C4B58" w:rsidRDefault="00A35579" w:rsidP="00A35579">
      <w:pPr>
        <w:spacing w:after="0" w:line="240" w:lineRule="auto"/>
        <w:ind w:left="360" w:hanging="360"/>
        <w:jc w:val="both"/>
        <w:rPr>
          <w:rFonts w:asciiTheme="minorHAnsi" w:eastAsia="Arial" w:hAnsiTheme="minorHAnsi" w:cs="Arial"/>
          <w:color w:val="C00000"/>
          <w:sz w:val="21"/>
          <w:szCs w:val="21"/>
        </w:rPr>
      </w:pPr>
    </w:p>
    <w:p w14:paraId="0000000D" w14:textId="77777777" w:rsidR="00AA1640" w:rsidRPr="002C4B58" w:rsidRDefault="002C0000" w:rsidP="00460A20">
      <w:pPr>
        <w:spacing w:after="0" w:line="240" w:lineRule="auto"/>
        <w:jc w:val="both"/>
        <w:rPr>
          <w:rFonts w:asciiTheme="minorHAnsi" w:eastAsia="Arial" w:hAnsiTheme="minorHAnsi" w:cs="Arial"/>
          <w:color w:val="1F4E79"/>
          <w:sz w:val="21"/>
          <w:szCs w:val="21"/>
          <w:u w:val="single"/>
        </w:rPr>
      </w:pPr>
      <w:r>
        <w:rPr>
          <w:rFonts w:asciiTheme="minorHAnsi" w:hAnsiTheme="minorHAnsi"/>
          <w:color w:val="1F4E79"/>
          <w:sz w:val="21"/>
          <w:szCs w:val="21"/>
        </w:rPr>
        <w:t> </w:t>
      </w:r>
      <w:r>
        <w:rPr>
          <w:rFonts w:asciiTheme="minorHAnsi" w:hAnsiTheme="minorHAnsi"/>
          <w:b/>
          <w:color w:val="1F3864"/>
          <w:sz w:val="21"/>
          <w:szCs w:val="21"/>
          <w:u w:val="single"/>
        </w:rPr>
        <w:t>II. Description des services demandés</w:t>
      </w:r>
    </w:p>
    <w:p w14:paraId="0000000E" w14:textId="157E5592" w:rsidR="00AA1640" w:rsidRPr="002C4B58" w:rsidRDefault="002C0000">
      <w:pPr>
        <w:pBdr>
          <w:top w:val="nil"/>
          <w:left w:val="nil"/>
          <w:bottom w:val="nil"/>
          <w:right w:val="nil"/>
          <w:between w:val="nil"/>
        </w:pBdr>
        <w:spacing w:after="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Les termes de référence sont rédigés pour définir les termes et conditions conclus avec les prestataires de services financiers lorsque l’opération a recours ou non au système de planification des ressources de l’entreprise (ERP) pour la présentation des paiements. Des renseignements détaillés sur le système d’ERP figurent à la section VII de ce document.</w:t>
      </w:r>
    </w:p>
    <w:p w14:paraId="0000000F" w14:textId="016FB1FE" w:rsidR="00AA1640" w:rsidRPr="00486526" w:rsidRDefault="002C0000">
      <w:pPr>
        <w:spacing w:before="100" w:after="120" w:line="240" w:lineRule="auto"/>
        <w:jc w:val="both"/>
        <w:rPr>
          <w:rFonts w:asciiTheme="minorHAnsi" w:eastAsia="Arial" w:hAnsiTheme="minorHAnsi" w:cs="Arial"/>
          <w:sz w:val="21"/>
          <w:szCs w:val="21"/>
        </w:rPr>
      </w:pPr>
      <w:r w:rsidRPr="00486526">
        <w:rPr>
          <w:rFonts w:asciiTheme="minorHAnsi" w:hAnsiTheme="minorHAnsi"/>
          <w:sz w:val="21"/>
          <w:szCs w:val="21"/>
        </w:rPr>
        <w:t xml:space="preserve">La devise de mise en </w:t>
      </w:r>
      <w:r w:rsidR="00063B2D" w:rsidRPr="00486526">
        <w:rPr>
          <w:rFonts w:asciiTheme="minorHAnsi" w:hAnsiTheme="minorHAnsi"/>
          <w:sz w:val="21"/>
          <w:szCs w:val="21"/>
        </w:rPr>
        <w:t>œ</w:t>
      </w:r>
      <w:r w:rsidRPr="00486526">
        <w:rPr>
          <w:rFonts w:asciiTheme="minorHAnsi" w:hAnsiTheme="minorHAnsi"/>
          <w:sz w:val="21"/>
          <w:szCs w:val="21"/>
        </w:rPr>
        <w:t xml:space="preserve">uvre des transferts financiers est : </w:t>
      </w:r>
      <w:r w:rsidR="009E4012" w:rsidRPr="00486526">
        <w:rPr>
          <w:rFonts w:asciiTheme="minorHAnsi" w:hAnsiTheme="minorHAnsi"/>
          <w:sz w:val="21"/>
          <w:szCs w:val="21"/>
          <w:highlight w:val="yellow"/>
        </w:rPr>
        <w:t>MRU</w:t>
      </w:r>
    </w:p>
    <w:p w14:paraId="00000010" w14:textId="77777777" w:rsidR="00AA1640" w:rsidRPr="002C4B58" w:rsidRDefault="002C0000">
      <w:pPr>
        <w:spacing w:before="100" w:after="120" w:line="240" w:lineRule="auto"/>
        <w:jc w:val="both"/>
        <w:rPr>
          <w:rFonts w:asciiTheme="minorHAnsi" w:eastAsia="Arial" w:hAnsiTheme="minorHAnsi" w:cs="Arial"/>
          <w:color w:val="000000"/>
          <w:sz w:val="21"/>
          <w:szCs w:val="21"/>
        </w:rPr>
      </w:pPr>
      <w:r>
        <w:rPr>
          <w:rFonts w:asciiTheme="minorHAnsi" w:hAnsiTheme="minorHAnsi"/>
          <w:color w:val="000000"/>
          <w:sz w:val="21"/>
          <w:szCs w:val="21"/>
        </w:rPr>
        <w:lastRenderedPageBreak/>
        <w:t>Les services de transferts financiers comprennent, sans s’y limiter :</w:t>
      </w:r>
    </w:p>
    <w:p w14:paraId="00000011" w14:textId="2832412D" w:rsidR="00AA1640" w:rsidRPr="002C4B58" w:rsidRDefault="002C0000">
      <w:pPr>
        <w:numPr>
          <w:ilvl w:val="0"/>
          <w:numId w:val="7"/>
        </w:numPr>
        <w:pBdr>
          <w:top w:val="nil"/>
          <w:left w:val="nil"/>
          <w:bottom w:val="nil"/>
          <w:right w:val="nil"/>
          <w:between w:val="nil"/>
        </w:pBdr>
        <w:spacing w:after="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des transferts monétaires uniques</w:t>
      </w:r>
      <w:r w:rsidR="00063B2D">
        <w:rPr>
          <w:rFonts w:asciiTheme="minorHAnsi" w:hAnsiTheme="minorHAnsi"/>
          <w:color w:val="000000"/>
          <w:sz w:val="21"/>
          <w:szCs w:val="21"/>
        </w:rPr>
        <w:t> </w:t>
      </w:r>
      <w:r>
        <w:rPr>
          <w:rFonts w:asciiTheme="minorHAnsi" w:hAnsiTheme="minorHAnsi"/>
          <w:color w:val="000000"/>
          <w:sz w:val="21"/>
          <w:szCs w:val="21"/>
        </w:rPr>
        <w:t>;</w:t>
      </w:r>
    </w:p>
    <w:p w14:paraId="00000012" w14:textId="77777777" w:rsidR="00AA1640" w:rsidRPr="002C4B58" w:rsidRDefault="002C0000">
      <w:pPr>
        <w:numPr>
          <w:ilvl w:val="0"/>
          <w:numId w:val="7"/>
        </w:numPr>
        <w:pBdr>
          <w:top w:val="nil"/>
          <w:left w:val="nil"/>
          <w:bottom w:val="nil"/>
          <w:right w:val="nil"/>
          <w:between w:val="nil"/>
        </w:pBdr>
        <w:spacing w:after="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des transferts monétaires réguliers, mensuels, bimensuels ou semi-annuels.</w:t>
      </w:r>
    </w:p>
    <w:p w14:paraId="00000013" w14:textId="29DEEC03" w:rsidR="00AA1640" w:rsidRPr="002C4B58" w:rsidRDefault="002C0000">
      <w:pPr>
        <w:spacing w:before="100" w:after="12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Le tableau suivant offre davantage de détails sur les caractéristiques des populations concernées selon leur emplacement géographique.</w:t>
      </w:r>
      <w:r w:rsidR="00063B2D">
        <w:rPr>
          <w:rFonts w:asciiTheme="minorHAnsi" w:hAnsiTheme="minorHAnsi"/>
          <w:color w:val="000000"/>
          <w:sz w:val="21"/>
          <w:szCs w:val="21"/>
        </w:rPr>
        <w:t xml:space="preserve"> </w:t>
      </w:r>
      <w:r>
        <w:rPr>
          <w:rFonts w:asciiTheme="minorHAnsi" w:hAnsiTheme="minorHAnsi"/>
          <w:color w:val="000000"/>
          <w:sz w:val="21"/>
          <w:szCs w:val="21"/>
        </w:rPr>
        <w:t>Ces renseignements servent d’indication. Il est prévu que les offres prennent ces renseignements en compte et décrivent la manière dont le service proposé sera adapté aux populations et contextes de mise en œuvre ciblés.</w:t>
      </w:r>
    </w:p>
    <w:tbl>
      <w:tblPr>
        <w:tblStyle w:val="a"/>
        <w:tblW w:w="10070" w:type="dxa"/>
        <w:tblLayout w:type="fixed"/>
        <w:tblLook w:val="0400" w:firstRow="0" w:lastRow="0" w:firstColumn="0" w:lastColumn="0" w:noHBand="0" w:noVBand="1"/>
      </w:tblPr>
      <w:tblGrid>
        <w:gridCol w:w="559"/>
        <w:gridCol w:w="9511"/>
      </w:tblGrid>
      <w:tr w:rsidR="00AA1640" w:rsidRPr="002C4B58" w14:paraId="3E6E02A4" w14:textId="77777777" w:rsidTr="00900FFE">
        <w:tc>
          <w:tcPr>
            <w:tcW w:w="559"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14:paraId="00000014" w14:textId="77777777" w:rsidR="00AA1640" w:rsidRPr="002C4B58" w:rsidRDefault="002C0000">
            <w:pPr>
              <w:spacing w:before="100" w:after="0" w:line="240" w:lineRule="auto"/>
              <w:jc w:val="both"/>
              <w:rPr>
                <w:rFonts w:asciiTheme="minorHAnsi" w:eastAsia="Arial" w:hAnsiTheme="minorHAnsi" w:cs="Arial"/>
                <w:b/>
                <w:sz w:val="21"/>
                <w:szCs w:val="21"/>
              </w:rPr>
            </w:pPr>
            <w:r>
              <w:rPr>
                <w:rFonts w:asciiTheme="minorHAnsi" w:hAnsiTheme="minorHAnsi"/>
                <w:b/>
                <w:color w:val="000000"/>
                <w:sz w:val="21"/>
                <w:szCs w:val="21"/>
              </w:rPr>
              <w:t>Lot</w:t>
            </w:r>
          </w:p>
        </w:tc>
        <w:tc>
          <w:tcPr>
            <w:tcW w:w="9511"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tcPr>
          <w:p w14:paraId="00000015" w14:textId="77777777" w:rsidR="00AA1640" w:rsidRPr="002C4B58" w:rsidRDefault="002C0000">
            <w:pPr>
              <w:spacing w:before="100" w:after="0" w:line="240" w:lineRule="auto"/>
              <w:jc w:val="both"/>
              <w:rPr>
                <w:rFonts w:asciiTheme="minorHAnsi" w:eastAsia="Arial" w:hAnsiTheme="minorHAnsi" w:cs="Arial"/>
                <w:b/>
                <w:sz w:val="21"/>
                <w:szCs w:val="21"/>
              </w:rPr>
            </w:pPr>
            <w:r>
              <w:rPr>
                <w:rFonts w:asciiTheme="minorHAnsi" w:hAnsiTheme="minorHAnsi"/>
                <w:b/>
                <w:color w:val="000000"/>
                <w:sz w:val="21"/>
                <w:szCs w:val="21"/>
              </w:rPr>
              <w:t xml:space="preserve">Renseignements spécifiques sur la population cible  </w:t>
            </w:r>
          </w:p>
        </w:tc>
      </w:tr>
      <w:tr w:rsidR="00AA1640" w:rsidRPr="002C4B58" w14:paraId="02AB3EE0" w14:textId="77777777" w:rsidTr="00900FFE">
        <w:tc>
          <w:tcPr>
            <w:tcW w:w="5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0000016" w14:textId="77777777" w:rsidR="00AA1640" w:rsidRPr="002C4B58" w:rsidRDefault="002C0000">
            <w:pPr>
              <w:spacing w:after="0" w:line="240" w:lineRule="auto"/>
              <w:jc w:val="center"/>
              <w:rPr>
                <w:rFonts w:asciiTheme="minorHAnsi" w:eastAsia="Arial" w:hAnsiTheme="minorHAnsi" w:cs="Arial"/>
                <w:color w:val="C00000"/>
                <w:sz w:val="21"/>
                <w:szCs w:val="21"/>
              </w:rPr>
            </w:pPr>
            <w:r>
              <w:rPr>
                <w:rFonts w:asciiTheme="minorHAnsi" w:hAnsiTheme="minorHAnsi"/>
                <w:color w:val="C00000"/>
                <w:sz w:val="21"/>
                <w:szCs w:val="21"/>
              </w:rPr>
              <w:t>1</w:t>
            </w:r>
          </w:p>
        </w:tc>
        <w:tc>
          <w:tcPr>
            <w:tcW w:w="9511" w:type="dxa"/>
            <w:tcBorders>
              <w:top w:val="nil"/>
              <w:left w:val="nil"/>
              <w:bottom w:val="single" w:sz="8" w:space="0" w:color="000000"/>
              <w:right w:val="single" w:sz="8" w:space="0" w:color="000000"/>
            </w:tcBorders>
            <w:tcMar>
              <w:top w:w="0" w:type="dxa"/>
              <w:left w:w="108" w:type="dxa"/>
              <w:bottom w:w="0" w:type="dxa"/>
              <w:right w:w="108" w:type="dxa"/>
            </w:tcMar>
          </w:tcPr>
          <w:p w14:paraId="6F0BED07" w14:textId="77777777" w:rsidR="006C1B64" w:rsidRDefault="006C1B64" w:rsidP="00DB0421">
            <w:pPr>
              <w:spacing w:after="0" w:line="240" w:lineRule="auto"/>
              <w:rPr>
                <w:rFonts w:asciiTheme="minorHAnsi" w:hAnsiTheme="minorHAnsi"/>
                <w:color w:val="C00000"/>
                <w:sz w:val="21"/>
                <w:szCs w:val="21"/>
                <w:u w:val="single"/>
              </w:rPr>
            </w:pPr>
          </w:p>
          <w:tbl>
            <w:tblPr>
              <w:tblpPr w:leftFromText="180" w:rightFromText="180" w:horzAnchor="page" w:tblpX="605" w:tblpY="340"/>
              <w:tblOverlap w:val="never"/>
              <w:tblW w:w="9290" w:type="dxa"/>
              <w:tblLayout w:type="fixed"/>
              <w:tblLook w:val="04A0" w:firstRow="1" w:lastRow="0" w:firstColumn="1" w:lastColumn="0" w:noHBand="0" w:noVBand="1"/>
            </w:tblPr>
            <w:tblGrid>
              <w:gridCol w:w="3230"/>
              <w:gridCol w:w="1620"/>
              <w:gridCol w:w="1200"/>
              <w:gridCol w:w="1080"/>
              <w:gridCol w:w="1080"/>
              <w:gridCol w:w="1080"/>
            </w:tblGrid>
            <w:tr w:rsidR="00900FFE" w:rsidRPr="000B377E" w14:paraId="2B91E7C3" w14:textId="77777777" w:rsidTr="00A60147">
              <w:trPr>
                <w:trHeight w:val="1110"/>
              </w:trPr>
              <w:tc>
                <w:tcPr>
                  <w:tcW w:w="3230" w:type="dxa"/>
                  <w:vMerge w:val="restart"/>
                  <w:tcBorders>
                    <w:top w:val="single" w:sz="8" w:space="0" w:color="auto"/>
                    <w:left w:val="single" w:sz="8" w:space="0" w:color="auto"/>
                    <w:bottom w:val="single" w:sz="8" w:space="0" w:color="000000"/>
                    <w:right w:val="single" w:sz="8" w:space="0" w:color="auto"/>
                  </w:tcBorders>
                  <w:shd w:val="clear" w:color="000000" w:fill="A5A5A5"/>
                  <w:vAlign w:val="center"/>
                  <w:hideMark/>
                </w:tcPr>
                <w:p w14:paraId="7C3B50D7" w14:textId="262E39E4" w:rsidR="00900FFE" w:rsidRPr="00DA48A2" w:rsidRDefault="00DA17B8" w:rsidP="00900FFE">
                  <w:pPr>
                    <w:spacing w:after="0" w:line="240" w:lineRule="auto"/>
                    <w:jc w:val="both"/>
                    <w:rPr>
                      <w:rFonts w:asciiTheme="minorHAnsi" w:eastAsia="Times New Roman" w:hAnsiTheme="minorHAnsi" w:cstheme="minorHAnsi"/>
                      <w:b/>
                      <w:bCs/>
                      <w:color w:val="FFFFFF"/>
                      <w:sz w:val="20"/>
                      <w:szCs w:val="20"/>
                      <w:lang w:eastAsia="en-US"/>
                    </w:rPr>
                  </w:pPr>
                  <w:r>
                    <w:rPr>
                      <w:rFonts w:asciiTheme="minorHAnsi" w:eastAsia="Times New Roman" w:hAnsiTheme="minorHAnsi" w:cstheme="minorHAnsi"/>
                      <w:b/>
                      <w:bCs/>
                      <w:color w:val="FFFFFF"/>
                      <w:sz w:val="20"/>
                      <w:szCs w:val="20"/>
                      <w:lang w:eastAsia="en-US"/>
                    </w:rPr>
                    <w:t>Cas de</w:t>
                  </w:r>
                  <w:r w:rsidR="00683066">
                    <w:rPr>
                      <w:rFonts w:asciiTheme="minorHAnsi" w:eastAsia="Times New Roman" w:hAnsiTheme="minorHAnsi" w:cstheme="minorHAnsi"/>
                      <w:b/>
                      <w:bCs/>
                      <w:color w:val="FFFFFF"/>
                      <w:sz w:val="20"/>
                      <w:szCs w:val="20"/>
                      <w:lang w:eastAsia="en-US"/>
                    </w:rPr>
                    <w:t xml:space="preserve"> </w:t>
                  </w:r>
                  <w:r w:rsidR="00900FFE" w:rsidRPr="00DA48A2">
                    <w:rPr>
                      <w:rFonts w:asciiTheme="minorHAnsi" w:eastAsia="Times New Roman" w:hAnsiTheme="minorHAnsi" w:cstheme="minorHAnsi"/>
                      <w:b/>
                      <w:bCs/>
                      <w:color w:val="FFFFFF"/>
                      <w:sz w:val="20"/>
                      <w:szCs w:val="20"/>
                      <w:lang w:eastAsia="en-US"/>
                    </w:rPr>
                    <w:t xml:space="preserve">MALIANS </w:t>
                  </w:r>
                  <w:r w:rsidR="00683066">
                    <w:rPr>
                      <w:rFonts w:asciiTheme="minorHAnsi" w:eastAsia="Times New Roman" w:hAnsiTheme="minorHAnsi" w:cstheme="minorHAnsi"/>
                      <w:b/>
                      <w:bCs/>
                      <w:color w:val="FFFFFF"/>
                      <w:sz w:val="20"/>
                      <w:szCs w:val="20"/>
                      <w:lang w:eastAsia="en-US"/>
                    </w:rPr>
                    <w:t>à</w:t>
                  </w:r>
                  <w:r w:rsidR="00900FFE" w:rsidRPr="00DA48A2">
                    <w:rPr>
                      <w:rFonts w:asciiTheme="minorHAnsi" w:eastAsia="Times New Roman" w:hAnsiTheme="minorHAnsi" w:cstheme="minorHAnsi"/>
                      <w:b/>
                      <w:bCs/>
                      <w:color w:val="FFFFFF"/>
                      <w:sz w:val="20"/>
                      <w:szCs w:val="20"/>
                      <w:lang w:eastAsia="en-US"/>
                    </w:rPr>
                    <w:t xml:space="preserve"> </w:t>
                  </w:r>
                  <w:r w:rsidR="00900FFE">
                    <w:rPr>
                      <w:rFonts w:asciiTheme="minorHAnsi" w:eastAsia="Times New Roman" w:hAnsiTheme="minorHAnsi" w:cstheme="minorHAnsi"/>
                      <w:b/>
                      <w:bCs/>
                      <w:color w:val="FFFFFF"/>
                      <w:sz w:val="20"/>
                      <w:szCs w:val="20"/>
                      <w:lang w:eastAsia="en-US"/>
                    </w:rPr>
                    <w:t>HEC</w:t>
                  </w:r>
                </w:p>
              </w:tc>
              <w:tc>
                <w:tcPr>
                  <w:tcW w:w="1620" w:type="dxa"/>
                  <w:vMerge w:val="restart"/>
                  <w:tcBorders>
                    <w:top w:val="single" w:sz="8" w:space="0" w:color="auto"/>
                    <w:left w:val="single" w:sz="8" w:space="0" w:color="auto"/>
                    <w:bottom w:val="single" w:sz="8" w:space="0" w:color="000000"/>
                    <w:right w:val="single" w:sz="8" w:space="0" w:color="auto"/>
                  </w:tcBorders>
                  <w:shd w:val="clear" w:color="000000" w:fill="A5A5A5"/>
                  <w:vAlign w:val="center"/>
                  <w:hideMark/>
                </w:tcPr>
                <w:p w14:paraId="0A993967" w14:textId="644A2EE5" w:rsidR="00900FFE" w:rsidRPr="00DA48A2" w:rsidRDefault="00431D6F" w:rsidP="00900FFE">
                  <w:pPr>
                    <w:spacing w:after="0" w:line="240" w:lineRule="auto"/>
                    <w:jc w:val="both"/>
                    <w:rPr>
                      <w:rFonts w:asciiTheme="minorHAnsi" w:eastAsia="Times New Roman" w:hAnsiTheme="minorHAnsi" w:cstheme="minorHAnsi"/>
                      <w:b/>
                      <w:bCs/>
                      <w:color w:val="FFFFFF"/>
                      <w:sz w:val="20"/>
                      <w:szCs w:val="20"/>
                      <w:lang w:eastAsia="en-US"/>
                    </w:rPr>
                  </w:pPr>
                  <w:r>
                    <w:rPr>
                      <w:rFonts w:asciiTheme="minorHAnsi" w:eastAsia="Times New Roman" w:hAnsiTheme="minorHAnsi" w:cstheme="minorHAnsi"/>
                      <w:b/>
                      <w:bCs/>
                      <w:color w:val="FFFFFF"/>
                      <w:sz w:val="20"/>
                      <w:szCs w:val="20"/>
                      <w:lang w:eastAsia="en-US"/>
                    </w:rPr>
                    <w:t>Lieux</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A5A5A5"/>
                  <w:vAlign w:val="center"/>
                  <w:hideMark/>
                </w:tcPr>
                <w:p w14:paraId="333BCA1C" w14:textId="66939F46" w:rsidR="00900FFE" w:rsidRPr="00DA48A2" w:rsidRDefault="00A60147" w:rsidP="00900FFE">
                  <w:pPr>
                    <w:spacing w:after="0" w:line="240" w:lineRule="auto"/>
                    <w:jc w:val="both"/>
                    <w:rPr>
                      <w:rFonts w:asciiTheme="minorHAnsi" w:eastAsia="Times New Roman" w:hAnsiTheme="minorHAnsi" w:cstheme="minorHAnsi"/>
                      <w:b/>
                      <w:bCs/>
                      <w:color w:val="FFFFFF"/>
                      <w:sz w:val="20"/>
                      <w:szCs w:val="20"/>
                      <w:lang w:eastAsia="en-US"/>
                    </w:rPr>
                  </w:pPr>
                  <w:r w:rsidRPr="00A60147">
                    <w:rPr>
                      <w:rFonts w:asciiTheme="minorHAnsi" w:eastAsia="Times New Roman" w:hAnsiTheme="minorHAnsi" w:cstheme="minorHAnsi"/>
                      <w:b/>
                      <w:bCs/>
                      <w:color w:val="FFFFFF"/>
                      <w:sz w:val="20"/>
                      <w:szCs w:val="20"/>
                      <w:lang w:eastAsia="en-US"/>
                    </w:rPr>
                    <w:t>Nombre d'individus</w:t>
                  </w:r>
                </w:p>
              </w:tc>
              <w:tc>
                <w:tcPr>
                  <w:tcW w:w="1080" w:type="dxa"/>
                  <w:tcBorders>
                    <w:top w:val="single" w:sz="8" w:space="0" w:color="auto"/>
                    <w:left w:val="nil"/>
                    <w:bottom w:val="nil"/>
                    <w:right w:val="single" w:sz="8" w:space="0" w:color="auto"/>
                  </w:tcBorders>
                  <w:shd w:val="clear" w:color="000000" w:fill="A5A5A5"/>
                  <w:vAlign w:val="center"/>
                  <w:hideMark/>
                </w:tcPr>
                <w:p w14:paraId="17C555A9" w14:textId="3EFB8F50" w:rsidR="00900FFE" w:rsidRPr="00DA48A2" w:rsidRDefault="00A60147" w:rsidP="00900FFE">
                  <w:pPr>
                    <w:spacing w:after="0" w:line="240" w:lineRule="auto"/>
                    <w:jc w:val="both"/>
                    <w:rPr>
                      <w:rFonts w:asciiTheme="minorHAnsi" w:eastAsia="Times New Roman" w:hAnsiTheme="minorHAnsi" w:cstheme="minorHAnsi"/>
                      <w:b/>
                      <w:bCs/>
                      <w:color w:val="FFFFFF"/>
                      <w:sz w:val="20"/>
                      <w:szCs w:val="20"/>
                      <w:lang w:eastAsia="en-US"/>
                    </w:rPr>
                  </w:pPr>
                  <w:r>
                    <w:rPr>
                      <w:rFonts w:asciiTheme="minorHAnsi" w:eastAsia="Times New Roman" w:hAnsiTheme="minorHAnsi" w:cstheme="minorHAnsi"/>
                      <w:b/>
                      <w:bCs/>
                      <w:color w:val="FFFFFF"/>
                      <w:sz w:val="20"/>
                      <w:szCs w:val="20"/>
                      <w:lang w:eastAsia="en-US"/>
                    </w:rPr>
                    <w:t>Valeur de transfert en USD</w:t>
                  </w:r>
                </w:p>
              </w:tc>
              <w:tc>
                <w:tcPr>
                  <w:tcW w:w="1080" w:type="dxa"/>
                  <w:vMerge w:val="restart"/>
                  <w:tcBorders>
                    <w:top w:val="single" w:sz="8" w:space="0" w:color="auto"/>
                    <w:left w:val="single" w:sz="8" w:space="0" w:color="auto"/>
                    <w:bottom w:val="single" w:sz="8" w:space="0" w:color="000000"/>
                    <w:right w:val="single" w:sz="8" w:space="0" w:color="auto"/>
                  </w:tcBorders>
                  <w:shd w:val="clear" w:color="000000" w:fill="A5A5A5"/>
                  <w:vAlign w:val="center"/>
                  <w:hideMark/>
                </w:tcPr>
                <w:p w14:paraId="087404CC" w14:textId="48351D42" w:rsidR="00900FFE" w:rsidRPr="00DA48A2" w:rsidRDefault="000B377E" w:rsidP="00900FFE">
                  <w:pPr>
                    <w:spacing w:after="0" w:line="240" w:lineRule="auto"/>
                    <w:jc w:val="both"/>
                    <w:rPr>
                      <w:rFonts w:asciiTheme="minorHAnsi" w:eastAsia="Times New Roman" w:hAnsiTheme="minorHAnsi" w:cstheme="minorHAnsi"/>
                      <w:b/>
                      <w:bCs/>
                      <w:color w:val="FFFFFF"/>
                      <w:sz w:val="20"/>
                      <w:szCs w:val="20"/>
                      <w:lang w:eastAsia="en-US"/>
                    </w:rPr>
                  </w:pPr>
                  <w:r w:rsidRPr="000B377E">
                    <w:rPr>
                      <w:rFonts w:asciiTheme="minorHAnsi" w:eastAsia="Times New Roman" w:hAnsiTheme="minorHAnsi" w:cstheme="minorHAnsi"/>
                      <w:b/>
                      <w:bCs/>
                      <w:color w:val="FFFFFF"/>
                      <w:sz w:val="20"/>
                      <w:szCs w:val="20"/>
                      <w:lang w:eastAsia="en-US"/>
                    </w:rPr>
                    <w:t>Nombre de transferts par an</w:t>
                  </w:r>
                </w:p>
              </w:tc>
              <w:tc>
                <w:tcPr>
                  <w:tcW w:w="1080" w:type="dxa"/>
                  <w:vMerge w:val="restart"/>
                  <w:tcBorders>
                    <w:top w:val="single" w:sz="8" w:space="0" w:color="auto"/>
                    <w:left w:val="single" w:sz="8" w:space="0" w:color="auto"/>
                    <w:right w:val="single" w:sz="8" w:space="0" w:color="auto"/>
                  </w:tcBorders>
                  <w:shd w:val="clear" w:color="000000" w:fill="A5A5A5"/>
                </w:tcPr>
                <w:p w14:paraId="65E8B5C3" w14:textId="56104D4E" w:rsidR="00900FFE" w:rsidRPr="000B377E" w:rsidRDefault="000B377E" w:rsidP="00900FFE">
                  <w:pPr>
                    <w:spacing w:after="0" w:line="240" w:lineRule="auto"/>
                    <w:jc w:val="both"/>
                    <w:rPr>
                      <w:rFonts w:asciiTheme="minorHAnsi" w:eastAsia="Times New Roman" w:hAnsiTheme="minorHAnsi" w:cstheme="minorHAnsi"/>
                      <w:b/>
                      <w:bCs/>
                      <w:color w:val="FFFFFF"/>
                      <w:sz w:val="20"/>
                      <w:szCs w:val="20"/>
                      <w:lang w:eastAsia="en-US"/>
                    </w:rPr>
                  </w:pPr>
                  <w:r w:rsidRPr="000B377E">
                    <w:rPr>
                      <w:rFonts w:asciiTheme="minorHAnsi" w:eastAsia="Times New Roman" w:hAnsiTheme="minorHAnsi" w:cstheme="minorHAnsi"/>
                      <w:b/>
                      <w:bCs/>
                      <w:color w:val="FFFFFF"/>
                      <w:sz w:val="20"/>
                      <w:szCs w:val="20"/>
                      <w:lang w:eastAsia="en-US"/>
                    </w:rPr>
                    <w:t>Montant total indicatif par an</w:t>
                  </w:r>
                  <w:r>
                    <w:rPr>
                      <w:rFonts w:asciiTheme="minorHAnsi" w:eastAsia="Times New Roman" w:hAnsiTheme="minorHAnsi" w:cstheme="minorHAnsi"/>
                      <w:b/>
                      <w:bCs/>
                      <w:color w:val="FFFFFF"/>
                      <w:sz w:val="20"/>
                      <w:szCs w:val="20"/>
                      <w:lang w:eastAsia="en-US"/>
                    </w:rPr>
                    <w:t xml:space="preserve"> en USD</w:t>
                  </w:r>
                </w:p>
              </w:tc>
            </w:tr>
            <w:tr w:rsidR="00900FFE" w:rsidRPr="00DA48A2" w14:paraId="36A803D0" w14:textId="77777777" w:rsidTr="00A60147">
              <w:trPr>
                <w:trHeight w:val="300"/>
              </w:trPr>
              <w:tc>
                <w:tcPr>
                  <w:tcW w:w="3230" w:type="dxa"/>
                  <w:vMerge/>
                  <w:tcBorders>
                    <w:top w:val="single" w:sz="8" w:space="0" w:color="auto"/>
                    <w:left w:val="single" w:sz="8" w:space="0" w:color="auto"/>
                    <w:bottom w:val="single" w:sz="8" w:space="0" w:color="000000"/>
                    <w:right w:val="single" w:sz="8" w:space="0" w:color="auto"/>
                  </w:tcBorders>
                  <w:vAlign w:val="center"/>
                  <w:hideMark/>
                </w:tcPr>
                <w:p w14:paraId="1774E93A" w14:textId="77777777" w:rsidR="00900FFE" w:rsidRPr="000B377E" w:rsidRDefault="00900FFE" w:rsidP="00900FFE">
                  <w:pPr>
                    <w:spacing w:after="0" w:line="240" w:lineRule="auto"/>
                    <w:rPr>
                      <w:rFonts w:asciiTheme="minorHAnsi" w:eastAsia="Times New Roman" w:hAnsiTheme="minorHAnsi" w:cstheme="minorHAnsi"/>
                      <w:b/>
                      <w:bCs/>
                      <w:color w:val="FFFFFF"/>
                      <w:sz w:val="20"/>
                      <w:szCs w:val="20"/>
                      <w:lang w:eastAsia="en-US"/>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14:paraId="7B24112F" w14:textId="77777777" w:rsidR="00900FFE" w:rsidRPr="000B377E" w:rsidRDefault="00900FFE" w:rsidP="00900FFE">
                  <w:pPr>
                    <w:spacing w:after="0" w:line="240" w:lineRule="auto"/>
                    <w:rPr>
                      <w:rFonts w:asciiTheme="minorHAnsi" w:eastAsia="Times New Roman" w:hAnsiTheme="minorHAnsi" w:cstheme="minorHAnsi"/>
                      <w:b/>
                      <w:bCs/>
                      <w:color w:val="FFFFFF"/>
                      <w:sz w:val="20"/>
                      <w:szCs w:val="20"/>
                      <w:lang w:eastAsia="en-US"/>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31B44457" w14:textId="77777777" w:rsidR="00900FFE" w:rsidRPr="000B377E" w:rsidRDefault="00900FFE" w:rsidP="00900FFE">
                  <w:pPr>
                    <w:spacing w:after="0" w:line="240" w:lineRule="auto"/>
                    <w:rPr>
                      <w:rFonts w:asciiTheme="minorHAnsi" w:eastAsia="Times New Roman" w:hAnsiTheme="minorHAnsi" w:cstheme="minorHAnsi"/>
                      <w:b/>
                      <w:bCs/>
                      <w:color w:val="FFFFFF"/>
                      <w:sz w:val="20"/>
                      <w:szCs w:val="20"/>
                      <w:lang w:eastAsia="en-US"/>
                    </w:rPr>
                  </w:pPr>
                </w:p>
              </w:tc>
              <w:tc>
                <w:tcPr>
                  <w:tcW w:w="1080" w:type="dxa"/>
                  <w:tcBorders>
                    <w:top w:val="nil"/>
                    <w:left w:val="nil"/>
                    <w:bottom w:val="single" w:sz="8" w:space="0" w:color="auto"/>
                    <w:right w:val="single" w:sz="8" w:space="0" w:color="auto"/>
                  </w:tcBorders>
                  <w:shd w:val="clear" w:color="000000" w:fill="A5A5A5"/>
                  <w:vAlign w:val="center"/>
                  <w:hideMark/>
                </w:tcPr>
                <w:p w14:paraId="6BAE98A4" w14:textId="53B5D78A" w:rsidR="00900FFE" w:rsidRPr="00DA48A2" w:rsidRDefault="00900FFE" w:rsidP="00900FFE">
                  <w:pPr>
                    <w:spacing w:after="0" w:line="240" w:lineRule="auto"/>
                    <w:jc w:val="both"/>
                    <w:rPr>
                      <w:rFonts w:asciiTheme="minorHAnsi" w:eastAsia="Times New Roman" w:hAnsiTheme="minorHAnsi" w:cstheme="minorHAnsi"/>
                      <w:b/>
                      <w:bCs/>
                      <w:color w:val="FFFFFF"/>
                      <w:sz w:val="20"/>
                      <w:szCs w:val="20"/>
                      <w:lang w:eastAsia="en-US"/>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2422C005" w14:textId="77777777" w:rsidR="00900FFE" w:rsidRPr="00DA48A2" w:rsidRDefault="00900FFE" w:rsidP="00900FFE">
                  <w:pPr>
                    <w:spacing w:after="0" w:line="240" w:lineRule="auto"/>
                    <w:rPr>
                      <w:rFonts w:asciiTheme="minorHAnsi" w:eastAsia="Times New Roman" w:hAnsiTheme="minorHAnsi" w:cstheme="minorHAnsi"/>
                      <w:b/>
                      <w:bCs/>
                      <w:color w:val="FFFFFF"/>
                      <w:sz w:val="20"/>
                      <w:szCs w:val="20"/>
                      <w:lang w:eastAsia="en-US"/>
                    </w:rPr>
                  </w:pPr>
                </w:p>
              </w:tc>
              <w:tc>
                <w:tcPr>
                  <w:tcW w:w="1080" w:type="dxa"/>
                  <w:vMerge/>
                  <w:tcBorders>
                    <w:left w:val="single" w:sz="8" w:space="0" w:color="auto"/>
                    <w:bottom w:val="single" w:sz="8" w:space="0" w:color="000000"/>
                    <w:right w:val="single" w:sz="8" w:space="0" w:color="auto"/>
                  </w:tcBorders>
                </w:tcPr>
                <w:p w14:paraId="642D3DC8" w14:textId="77777777" w:rsidR="00900FFE" w:rsidRPr="00DA48A2" w:rsidRDefault="00900FFE" w:rsidP="00900FFE">
                  <w:pPr>
                    <w:spacing w:after="0" w:line="240" w:lineRule="auto"/>
                    <w:rPr>
                      <w:rFonts w:asciiTheme="minorHAnsi" w:eastAsia="Times New Roman" w:hAnsiTheme="minorHAnsi" w:cstheme="minorHAnsi"/>
                      <w:b/>
                      <w:bCs/>
                      <w:color w:val="FFFFFF"/>
                      <w:sz w:val="20"/>
                      <w:szCs w:val="20"/>
                      <w:lang w:eastAsia="en-US"/>
                    </w:rPr>
                  </w:pPr>
                </w:p>
              </w:tc>
            </w:tr>
            <w:tr w:rsidR="00900FFE" w:rsidRPr="00DA48A2" w14:paraId="4E9FFA4A" w14:textId="77777777" w:rsidTr="00A60147">
              <w:trPr>
                <w:trHeight w:val="611"/>
              </w:trPr>
              <w:tc>
                <w:tcPr>
                  <w:tcW w:w="3230" w:type="dxa"/>
                  <w:tcBorders>
                    <w:top w:val="nil"/>
                    <w:left w:val="single" w:sz="8" w:space="0" w:color="auto"/>
                    <w:bottom w:val="single" w:sz="8" w:space="0" w:color="auto"/>
                    <w:right w:val="single" w:sz="8" w:space="0" w:color="auto"/>
                  </w:tcBorders>
                  <w:shd w:val="clear" w:color="auto" w:fill="auto"/>
                  <w:vAlign w:val="center"/>
                  <w:hideMark/>
                </w:tcPr>
                <w:p w14:paraId="66A71A74" w14:textId="538832A9" w:rsidR="00900FFE" w:rsidRPr="003D0AA9" w:rsidRDefault="001C27FA" w:rsidP="00900FFE">
                  <w:pPr>
                    <w:spacing w:after="0" w:line="240" w:lineRule="auto"/>
                    <w:rPr>
                      <w:rFonts w:asciiTheme="minorHAnsi" w:eastAsia="Times New Roman" w:hAnsiTheme="minorHAnsi" w:cstheme="minorHAnsi"/>
                      <w:color w:val="000000"/>
                      <w:sz w:val="20"/>
                      <w:szCs w:val="20"/>
                      <w:lang w:eastAsia="en-US"/>
                    </w:rPr>
                  </w:pPr>
                  <w:r w:rsidRPr="003D0AA9">
                    <w:rPr>
                      <w:rFonts w:asciiTheme="minorHAnsi" w:eastAsia="Times New Roman" w:hAnsiTheme="minorHAnsi" w:cstheme="minorHAnsi"/>
                      <w:color w:val="000000"/>
                      <w:sz w:val="20"/>
                      <w:szCs w:val="20"/>
                      <w:lang w:eastAsia="en-US"/>
                    </w:rPr>
                    <w:t>Assistance pour besoins</w:t>
                  </w:r>
                  <w:r w:rsidR="003D0AA9" w:rsidRPr="003D0AA9">
                    <w:rPr>
                      <w:rFonts w:asciiTheme="minorHAnsi" w:eastAsia="Times New Roman" w:hAnsiTheme="minorHAnsi" w:cstheme="minorHAnsi"/>
                      <w:color w:val="000000"/>
                      <w:sz w:val="20"/>
                      <w:szCs w:val="20"/>
                      <w:lang w:eastAsia="en-US"/>
                    </w:rPr>
                    <w:t xml:space="preserve"> de base</w:t>
                  </w:r>
                  <w:r w:rsidR="00900FFE" w:rsidRPr="003D0AA9">
                    <w:rPr>
                      <w:rFonts w:asciiTheme="minorHAnsi" w:eastAsia="Times New Roman" w:hAnsiTheme="minorHAnsi" w:cstheme="minorHAnsi"/>
                      <w:color w:val="000000"/>
                      <w:sz w:val="20"/>
                      <w:szCs w:val="20"/>
                      <w:lang w:eastAsia="en-US"/>
                    </w:rPr>
                    <w:t xml:space="preserve"> </w:t>
                  </w:r>
                  <w:r w:rsidR="00796BB0">
                    <w:rPr>
                      <w:rFonts w:asciiTheme="minorHAnsi" w:eastAsia="Times New Roman" w:hAnsiTheme="minorHAnsi" w:cstheme="minorHAnsi"/>
                      <w:color w:val="000000"/>
                      <w:sz w:val="20"/>
                      <w:szCs w:val="20"/>
                      <w:lang w:eastAsia="en-US"/>
                    </w:rPr>
                    <w:t>à usage multiple « </w:t>
                  </w:r>
                  <w:r w:rsidR="00900FFE" w:rsidRPr="003D0AA9">
                    <w:rPr>
                      <w:rFonts w:asciiTheme="minorHAnsi" w:eastAsia="Times New Roman" w:hAnsiTheme="minorHAnsi" w:cstheme="minorHAnsi"/>
                      <w:color w:val="000000"/>
                      <w:sz w:val="20"/>
                      <w:szCs w:val="20"/>
                      <w:lang w:eastAsia="en-US"/>
                    </w:rPr>
                    <w:t>PBS</w:t>
                  </w:r>
                  <w:r w:rsidR="00796BB0">
                    <w:rPr>
                      <w:rFonts w:asciiTheme="minorHAnsi" w:eastAsia="Times New Roman" w:hAnsiTheme="minorHAnsi" w:cstheme="minorHAnsi"/>
                      <w:color w:val="000000"/>
                      <w:sz w:val="20"/>
                      <w:szCs w:val="20"/>
                      <w:lang w:eastAsia="en-US"/>
                    </w:rPr>
                    <w:t> »</w:t>
                  </w:r>
                  <w:r w:rsidR="00900FFE" w:rsidRPr="003D0AA9">
                    <w:rPr>
                      <w:rFonts w:asciiTheme="minorHAnsi" w:eastAsia="Times New Roman" w:hAnsiTheme="minorHAnsi" w:cstheme="minorHAnsi"/>
                      <w:color w:val="000000"/>
                      <w:sz w:val="20"/>
                      <w:szCs w:val="20"/>
                      <w:lang w:eastAsia="en-US"/>
                    </w:rPr>
                    <w:t xml:space="preserve"> (</w:t>
                  </w:r>
                  <w:r w:rsidR="00A14672" w:rsidRPr="00A14672">
                    <w:rPr>
                      <w:rFonts w:asciiTheme="minorHAnsi" w:eastAsia="Times New Roman" w:hAnsiTheme="minorHAnsi" w:cstheme="minorHAnsi"/>
                      <w:color w:val="000000"/>
                      <w:sz w:val="20"/>
                      <w:szCs w:val="20"/>
                      <w:lang w:eastAsia="en-US"/>
                    </w:rPr>
                    <w:t>extrêmement vulnérable</w:t>
                  </w:r>
                  <w:r w:rsidR="00900FFE" w:rsidRPr="003D0AA9">
                    <w:rPr>
                      <w:rFonts w:asciiTheme="minorHAnsi" w:eastAsia="Times New Roman" w:hAnsiTheme="minorHAnsi" w:cstheme="minorHAnsi"/>
                      <w:color w:val="000000"/>
                      <w:sz w:val="20"/>
                      <w:szCs w:val="20"/>
                      <w:lang w:eastAsia="en-US"/>
                    </w:rPr>
                    <w:t>)</w:t>
                  </w:r>
                </w:p>
              </w:tc>
              <w:tc>
                <w:tcPr>
                  <w:tcW w:w="1620" w:type="dxa"/>
                  <w:tcBorders>
                    <w:top w:val="nil"/>
                    <w:left w:val="nil"/>
                    <w:bottom w:val="single" w:sz="8" w:space="0" w:color="auto"/>
                    <w:right w:val="single" w:sz="8" w:space="0" w:color="auto"/>
                  </w:tcBorders>
                  <w:shd w:val="clear" w:color="auto" w:fill="auto"/>
                  <w:noWrap/>
                  <w:hideMark/>
                </w:tcPr>
                <w:p w14:paraId="33AEB074" w14:textId="2E1A2CA5" w:rsidR="00900FFE" w:rsidRPr="00DA48A2" w:rsidRDefault="00F41EAC" w:rsidP="00900FFE">
                  <w:pPr>
                    <w:spacing w:after="0" w:line="240" w:lineRule="auto"/>
                    <w:rPr>
                      <w:rFonts w:asciiTheme="minorHAnsi" w:eastAsia="Times New Roman" w:hAnsiTheme="minorHAnsi" w:cstheme="minorHAnsi"/>
                      <w:color w:val="000000"/>
                      <w:sz w:val="20"/>
                      <w:szCs w:val="20"/>
                      <w:lang w:eastAsia="en-US"/>
                    </w:rPr>
                  </w:pPr>
                  <w:r w:rsidRPr="00AD3565">
                    <w:rPr>
                      <w:rFonts w:asciiTheme="minorHAnsi" w:eastAsia="Times New Roman" w:hAnsiTheme="minorHAnsi" w:cstheme="minorHAnsi"/>
                      <w:color w:val="000000"/>
                      <w:sz w:val="20"/>
                      <w:szCs w:val="20"/>
                      <w:lang w:eastAsia="en-US"/>
                    </w:rPr>
                    <w:t xml:space="preserve">Camp </w:t>
                  </w:r>
                  <w:r w:rsidR="00900FFE" w:rsidRPr="00AD3565">
                    <w:rPr>
                      <w:rFonts w:asciiTheme="minorHAnsi" w:eastAsia="Times New Roman" w:hAnsiTheme="minorHAnsi" w:cstheme="minorHAnsi"/>
                      <w:color w:val="000000"/>
                      <w:sz w:val="20"/>
                      <w:szCs w:val="20"/>
                      <w:lang w:eastAsia="en-US"/>
                    </w:rPr>
                    <w:t xml:space="preserve">M'Bera </w:t>
                  </w:r>
                </w:p>
              </w:tc>
              <w:tc>
                <w:tcPr>
                  <w:tcW w:w="1200" w:type="dxa"/>
                  <w:tcBorders>
                    <w:top w:val="nil"/>
                    <w:left w:val="nil"/>
                    <w:bottom w:val="single" w:sz="8" w:space="0" w:color="auto"/>
                    <w:right w:val="single" w:sz="8" w:space="0" w:color="auto"/>
                  </w:tcBorders>
                  <w:shd w:val="clear" w:color="auto" w:fill="auto"/>
                  <w:noWrap/>
                  <w:vAlign w:val="center"/>
                </w:tcPr>
                <w:p w14:paraId="4FB42396" w14:textId="77777777" w:rsidR="00900FFE" w:rsidRPr="00DA48A2" w:rsidRDefault="00900FFE" w:rsidP="00900FFE">
                  <w:pPr>
                    <w:spacing w:after="0" w:line="240" w:lineRule="auto"/>
                    <w:jc w:val="right"/>
                    <w:rPr>
                      <w:rFonts w:asciiTheme="minorHAnsi" w:eastAsia="Times New Roman" w:hAnsiTheme="minorHAnsi" w:cstheme="minorHAnsi"/>
                      <w:color w:val="000000"/>
                      <w:sz w:val="20"/>
                      <w:szCs w:val="20"/>
                      <w:lang w:eastAsia="en-US"/>
                    </w:rPr>
                  </w:pPr>
                  <w:r>
                    <w:rPr>
                      <w:rFonts w:asciiTheme="minorHAnsi" w:eastAsia="Times New Roman" w:hAnsiTheme="minorHAnsi" w:cstheme="minorHAnsi"/>
                      <w:color w:val="000000"/>
                      <w:sz w:val="20"/>
                      <w:szCs w:val="20"/>
                      <w:lang w:eastAsia="en-US"/>
                    </w:rPr>
                    <w:t>4000</w:t>
                  </w:r>
                </w:p>
              </w:tc>
              <w:tc>
                <w:tcPr>
                  <w:tcW w:w="1080" w:type="dxa"/>
                  <w:tcBorders>
                    <w:top w:val="nil"/>
                    <w:left w:val="nil"/>
                    <w:bottom w:val="single" w:sz="8" w:space="0" w:color="auto"/>
                    <w:right w:val="single" w:sz="8" w:space="0" w:color="auto"/>
                  </w:tcBorders>
                  <w:shd w:val="clear" w:color="auto" w:fill="auto"/>
                  <w:noWrap/>
                  <w:vAlign w:val="center"/>
                  <w:hideMark/>
                </w:tcPr>
                <w:p w14:paraId="4CC61C57" w14:textId="77777777" w:rsidR="00900FFE" w:rsidRPr="00DA48A2" w:rsidRDefault="00900FFE" w:rsidP="00900FFE">
                  <w:pPr>
                    <w:spacing w:after="0" w:line="240" w:lineRule="auto"/>
                    <w:jc w:val="right"/>
                    <w:rPr>
                      <w:rFonts w:asciiTheme="minorHAnsi" w:eastAsia="Times New Roman" w:hAnsiTheme="minorHAnsi" w:cstheme="minorHAnsi"/>
                      <w:color w:val="000000"/>
                      <w:sz w:val="20"/>
                      <w:szCs w:val="20"/>
                      <w:lang w:eastAsia="en-US"/>
                    </w:rPr>
                  </w:pPr>
                  <w:r>
                    <w:rPr>
                      <w:rFonts w:asciiTheme="minorHAnsi" w:eastAsia="Times New Roman" w:hAnsiTheme="minorHAnsi" w:cstheme="minorHAnsi"/>
                      <w:color w:val="000000"/>
                      <w:sz w:val="20"/>
                      <w:szCs w:val="20"/>
                      <w:lang w:eastAsia="en-US"/>
                    </w:rPr>
                    <w:t>50</w:t>
                  </w:r>
                </w:p>
              </w:tc>
              <w:tc>
                <w:tcPr>
                  <w:tcW w:w="1080" w:type="dxa"/>
                  <w:tcBorders>
                    <w:top w:val="nil"/>
                    <w:left w:val="nil"/>
                    <w:bottom w:val="single" w:sz="8" w:space="0" w:color="auto"/>
                    <w:right w:val="single" w:sz="8" w:space="0" w:color="auto"/>
                  </w:tcBorders>
                  <w:shd w:val="clear" w:color="auto" w:fill="auto"/>
                  <w:noWrap/>
                  <w:vAlign w:val="center"/>
                  <w:hideMark/>
                </w:tcPr>
                <w:p w14:paraId="673A1031" w14:textId="77777777" w:rsidR="00900FFE" w:rsidRPr="00DA48A2" w:rsidRDefault="00900FFE" w:rsidP="00900FFE">
                  <w:pPr>
                    <w:spacing w:after="0" w:line="240" w:lineRule="auto"/>
                    <w:jc w:val="right"/>
                    <w:rPr>
                      <w:rFonts w:asciiTheme="minorHAnsi" w:eastAsia="Times New Roman" w:hAnsiTheme="minorHAnsi" w:cstheme="minorHAnsi"/>
                      <w:color w:val="000000"/>
                      <w:sz w:val="20"/>
                      <w:szCs w:val="20"/>
                      <w:lang w:eastAsia="en-US"/>
                    </w:rPr>
                  </w:pPr>
                  <w:r>
                    <w:rPr>
                      <w:rFonts w:asciiTheme="minorHAnsi" w:eastAsia="Times New Roman" w:hAnsiTheme="minorHAnsi" w:cstheme="minorHAnsi"/>
                      <w:color w:val="000000"/>
                      <w:sz w:val="20"/>
                      <w:szCs w:val="20"/>
                      <w:lang w:eastAsia="en-US"/>
                    </w:rPr>
                    <w:t>4</w:t>
                  </w:r>
                </w:p>
              </w:tc>
              <w:tc>
                <w:tcPr>
                  <w:tcW w:w="1080" w:type="dxa"/>
                  <w:tcBorders>
                    <w:top w:val="nil"/>
                    <w:left w:val="nil"/>
                    <w:bottom w:val="single" w:sz="8" w:space="0" w:color="auto"/>
                    <w:right w:val="single" w:sz="8" w:space="0" w:color="auto"/>
                  </w:tcBorders>
                </w:tcPr>
                <w:p w14:paraId="398C18CB" w14:textId="77777777" w:rsidR="00900FFE" w:rsidRPr="00DA48A2" w:rsidRDefault="00900FFE" w:rsidP="00900FFE">
                  <w:pPr>
                    <w:jc w:val="right"/>
                    <w:rPr>
                      <w:rFonts w:asciiTheme="minorHAnsi" w:eastAsia="Times New Roman" w:hAnsiTheme="minorHAnsi" w:cstheme="minorHAnsi"/>
                      <w:color w:val="000000"/>
                      <w:sz w:val="20"/>
                      <w:szCs w:val="20"/>
                      <w:lang w:eastAsia="en-US"/>
                    </w:rPr>
                  </w:pPr>
                  <w:r>
                    <w:rPr>
                      <w:color w:val="000000"/>
                    </w:rPr>
                    <w:t>800000</w:t>
                  </w:r>
                </w:p>
              </w:tc>
            </w:tr>
            <w:tr w:rsidR="00900FFE" w:rsidRPr="00DA48A2" w14:paraId="169F8C19" w14:textId="77777777" w:rsidTr="00A60147">
              <w:trPr>
                <w:trHeight w:val="611"/>
              </w:trPr>
              <w:tc>
                <w:tcPr>
                  <w:tcW w:w="3230" w:type="dxa"/>
                  <w:tcBorders>
                    <w:top w:val="nil"/>
                    <w:left w:val="single" w:sz="8" w:space="0" w:color="auto"/>
                    <w:bottom w:val="single" w:sz="8" w:space="0" w:color="auto"/>
                    <w:right w:val="single" w:sz="8" w:space="0" w:color="auto"/>
                  </w:tcBorders>
                  <w:shd w:val="clear" w:color="auto" w:fill="auto"/>
                  <w:vAlign w:val="center"/>
                </w:tcPr>
                <w:p w14:paraId="6A51BADA" w14:textId="348EDE4F" w:rsidR="00900FFE" w:rsidRPr="006D36DB" w:rsidRDefault="00BA177D" w:rsidP="00900FFE">
                  <w:pPr>
                    <w:spacing w:after="0" w:line="240" w:lineRule="auto"/>
                    <w:rPr>
                      <w:rFonts w:asciiTheme="minorHAnsi" w:eastAsia="Times New Roman" w:hAnsiTheme="minorHAnsi" w:cstheme="minorHAnsi"/>
                      <w:color w:val="000000"/>
                      <w:sz w:val="20"/>
                      <w:szCs w:val="20"/>
                      <w:lang w:eastAsia="en-US"/>
                    </w:rPr>
                  </w:pPr>
                  <w:r w:rsidRPr="003D0AA9">
                    <w:rPr>
                      <w:rFonts w:asciiTheme="minorHAnsi" w:eastAsia="Times New Roman" w:hAnsiTheme="minorHAnsi" w:cstheme="minorHAnsi"/>
                      <w:color w:val="000000"/>
                      <w:sz w:val="20"/>
                      <w:szCs w:val="20"/>
                      <w:lang w:eastAsia="en-US"/>
                    </w:rPr>
                    <w:t xml:space="preserve">Assistance pour besoins de base </w:t>
                  </w:r>
                  <w:r>
                    <w:rPr>
                      <w:rFonts w:asciiTheme="minorHAnsi" w:eastAsia="Times New Roman" w:hAnsiTheme="minorHAnsi" w:cstheme="minorHAnsi"/>
                      <w:color w:val="000000"/>
                      <w:sz w:val="20"/>
                      <w:szCs w:val="20"/>
                      <w:lang w:eastAsia="en-US"/>
                    </w:rPr>
                    <w:t xml:space="preserve">à usage multiple </w:t>
                  </w:r>
                  <w:r w:rsidR="00900FFE" w:rsidRPr="006D36DB">
                    <w:rPr>
                      <w:rFonts w:asciiTheme="minorHAnsi" w:eastAsia="Times New Roman" w:hAnsiTheme="minorHAnsi" w:cstheme="minorHAnsi"/>
                      <w:color w:val="000000"/>
                      <w:sz w:val="20"/>
                      <w:szCs w:val="20"/>
                      <w:lang w:eastAsia="en-US"/>
                    </w:rPr>
                    <w:t xml:space="preserve">- </w:t>
                  </w:r>
                  <w:r w:rsidR="006D36DB" w:rsidRPr="006D36DB">
                    <w:rPr>
                      <w:rFonts w:asciiTheme="minorHAnsi" w:eastAsia="Times New Roman" w:hAnsiTheme="minorHAnsi" w:cstheme="minorHAnsi"/>
                      <w:color w:val="000000"/>
                      <w:sz w:val="20"/>
                      <w:szCs w:val="20"/>
                      <w:lang w:eastAsia="en-US"/>
                    </w:rPr>
                    <w:t>Protection</w:t>
                  </w:r>
                  <w:r w:rsidR="00900FFE" w:rsidRPr="006D36DB">
                    <w:rPr>
                      <w:rFonts w:asciiTheme="minorHAnsi" w:eastAsia="Times New Roman" w:hAnsiTheme="minorHAnsi" w:cstheme="minorHAnsi"/>
                      <w:color w:val="000000"/>
                      <w:sz w:val="20"/>
                      <w:szCs w:val="20"/>
                      <w:lang w:eastAsia="en-US"/>
                    </w:rPr>
                    <w:t xml:space="preserve"> </w:t>
                  </w:r>
                  <w:r w:rsidR="006D36DB" w:rsidRPr="006D36DB">
                    <w:rPr>
                      <w:rFonts w:asciiTheme="minorHAnsi" w:eastAsia="Times New Roman" w:hAnsiTheme="minorHAnsi" w:cstheme="minorHAnsi"/>
                      <w:color w:val="000000"/>
                      <w:sz w:val="20"/>
                      <w:szCs w:val="20"/>
                      <w:lang w:eastAsia="en-US"/>
                    </w:rPr>
                    <w:t>sociale</w:t>
                  </w:r>
                  <w:r w:rsidR="00900FFE" w:rsidRPr="006D36DB">
                    <w:rPr>
                      <w:rFonts w:asciiTheme="minorHAnsi" w:eastAsia="Times New Roman" w:hAnsiTheme="minorHAnsi" w:cstheme="minorHAnsi"/>
                      <w:color w:val="000000"/>
                      <w:sz w:val="20"/>
                      <w:szCs w:val="20"/>
                      <w:lang w:eastAsia="en-US"/>
                    </w:rPr>
                    <w:t xml:space="preserve"> (</w:t>
                  </w:r>
                  <w:r w:rsidR="006D36DB" w:rsidRPr="006D36DB">
                    <w:rPr>
                      <w:rFonts w:asciiTheme="minorHAnsi" w:eastAsia="Times New Roman" w:hAnsiTheme="minorHAnsi" w:cstheme="minorHAnsi"/>
                      <w:color w:val="000000"/>
                      <w:sz w:val="20"/>
                      <w:szCs w:val="20"/>
                      <w:lang w:eastAsia="en-US"/>
                    </w:rPr>
                    <w:t>réfugiés et c</w:t>
                  </w:r>
                  <w:r w:rsidR="006D36DB">
                    <w:rPr>
                      <w:rFonts w:asciiTheme="minorHAnsi" w:eastAsia="Times New Roman" w:hAnsiTheme="minorHAnsi" w:cstheme="minorHAnsi"/>
                      <w:color w:val="000000"/>
                      <w:sz w:val="20"/>
                      <w:szCs w:val="20"/>
                      <w:lang w:eastAsia="en-US"/>
                    </w:rPr>
                    <w:t xml:space="preserve">ommunautés </w:t>
                  </w:r>
                  <w:r>
                    <w:rPr>
                      <w:rFonts w:asciiTheme="minorHAnsi" w:eastAsia="Times New Roman" w:hAnsiTheme="minorHAnsi" w:cstheme="minorHAnsi"/>
                      <w:color w:val="000000"/>
                      <w:sz w:val="20"/>
                      <w:szCs w:val="20"/>
                      <w:lang w:eastAsia="en-US"/>
                    </w:rPr>
                    <w:t>hôtes</w:t>
                  </w:r>
                  <w:r w:rsidR="00900FFE" w:rsidRPr="006D36DB">
                    <w:rPr>
                      <w:rFonts w:asciiTheme="minorHAnsi" w:eastAsia="Times New Roman" w:hAnsiTheme="minorHAnsi" w:cstheme="minorHAnsi"/>
                      <w:color w:val="000000"/>
                      <w:sz w:val="20"/>
                      <w:szCs w:val="20"/>
                      <w:lang w:eastAsia="en-US"/>
                    </w:rPr>
                    <w:t>)</w:t>
                  </w:r>
                </w:p>
              </w:tc>
              <w:tc>
                <w:tcPr>
                  <w:tcW w:w="1620" w:type="dxa"/>
                  <w:tcBorders>
                    <w:top w:val="nil"/>
                    <w:left w:val="nil"/>
                    <w:bottom w:val="single" w:sz="8" w:space="0" w:color="auto"/>
                    <w:right w:val="single" w:sz="8" w:space="0" w:color="auto"/>
                  </w:tcBorders>
                  <w:shd w:val="clear" w:color="auto" w:fill="auto"/>
                  <w:noWrap/>
                </w:tcPr>
                <w:p w14:paraId="5C7A3275" w14:textId="6622A0DE" w:rsidR="00900FFE" w:rsidRPr="00DA48A2" w:rsidRDefault="00900FFE" w:rsidP="00900FFE">
                  <w:pPr>
                    <w:spacing w:after="0" w:line="240" w:lineRule="auto"/>
                    <w:rPr>
                      <w:rFonts w:asciiTheme="minorHAnsi" w:eastAsia="Times New Roman" w:hAnsiTheme="minorHAnsi" w:cstheme="minorHAnsi"/>
                      <w:color w:val="000000"/>
                      <w:sz w:val="20"/>
                      <w:szCs w:val="20"/>
                      <w:lang w:eastAsia="en-US"/>
                    </w:rPr>
                  </w:pPr>
                  <w:r w:rsidRPr="008D62F6">
                    <w:rPr>
                      <w:rFonts w:asciiTheme="minorHAnsi" w:eastAsia="Times New Roman" w:hAnsiTheme="minorHAnsi" w:cstheme="minorHAnsi"/>
                      <w:color w:val="000000"/>
                      <w:sz w:val="20"/>
                      <w:szCs w:val="20"/>
                      <w:lang w:eastAsia="en-US"/>
                    </w:rPr>
                    <w:t>HEC (</w:t>
                  </w:r>
                  <w:r w:rsidR="00F41EAC">
                    <w:rPr>
                      <w:rFonts w:asciiTheme="minorHAnsi" w:eastAsia="Times New Roman" w:hAnsiTheme="minorHAnsi" w:cstheme="minorHAnsi"/>
                      <w:color w:val="000000"/>
                      <w:sz w:val="20"/>
                      <w:szCs w:val="20"/>
                      <w:lang w:eastAsia="en-US"/>
                    </w:rPr>
                    <w:t>hors</w:t>
                  </w:r>
                  <w:r w:rsidRPr="008D62F6">
                    <w:rPr>
                      <w:rFonts w:asciiTheme="minorHAnsi" w:eastAsia="Times New Roman" w:hAnsiTheme="minorHAnsi" w:cstheme="minorHAnsi"/>
                      <w:color w:val="000000"/>
                      <w:sz w:val="20"/>
                      <w:szCs w:val="20"/>
                      <w:lang w:eastAsia="en-US"/>
                    </w:rPr>
                    <w:t xml:space="preserve"> camp)</w:t>
                  </w:r>
                </w:p>
              </w:tc>
              <w:tc>
                <w:tcPr>
                  <w:tcW w:w="1200" w:type="dxa"/>
                  <w:tcBorders>
                    <w:top w:val="nil"/>
                    <w:left w:val="nil"/>
                    <w:bottom w:val="single" w:sz="8" w:space="0" w:color="auto"/>
                    <w:right w:val="single" w:sz="8" w:space="0" w:color="auto"/>
                  </w:tcBorders>
                  <w:shd w:val="clear" w:color="auto" w:fill="auto"/>
                  <w:noWrap/>
                  <w:vAlign w:val="center"/>
                </w:tcPr>
                <w:p w14:paraId="56EE969B" w14:textId="77777777" w:rsidR="00900FFE" w:rsidRPr="00DA48A2" w:rsidRDefault="00900FFE" w:rsidP="00900FFE">
                  <w:pPr>
                    <w:spacing w:after="0" w:line="240" w:lineRule="auto"/>
                    <w:jc w:val="right"/>
                    <w:rPr>
                      <w:rFonts w:asciiTheme="minorHAnsi" w:eastAsia="Times New Roman" w:hAnsiTheme="minorHAnsi" w:cstheme="minorHAnsi"/>
                      <w:color w:val="000000"/>
                      <w:sz w:val="20"/>
                      <w:szCs w:val="20"/>
                      <w:lang w:eastAsia="en-US"/>
                    </w:rPr>
                  </w:pPr>
                  <w:r>
                    <w:rPr>
                      <w:rFonts w:asciiTheme="minorHAnsi" w:eastAsia="Times New Roman" w:hAnsiTheme="minorHAnsi" w:cstheme="minorHAnsi"/>
                      <w:color w:val="000000"/>
                      <w:sz w:val="20"/>
                      <w:szCs w:val="20"/>
                      <w:lang w:eastAsia="en-US"/>
                    </w:rPr>
                    <w:t>5165</w:t>
                  </w:r>
                </w:p>
              </w:tc>
              <w:tc>
                <w:tcPr>
                  <w:tcW w:w="1080" w:type="dxa"/>
                  <w:tcBorders>
                    <w:top w:val="nil"/>
                    <w:left w:val="nil"/>
                    <w:bottom w:val="single" w:sz="8" w:space="0" w:color="auto"/>
                    <w:right w:val="single" w:sz="8" w:space="0" w:color="auto"/>
                  </w:tcBorders>
                  <w:shd w:val="clear" w:color="auto" w:fill="auto"/>
                  <w:noWrap/>
                  <w:vAlign w:val="center"/>
                </w:tcPr>
                <w:p w14:paraId="1A14ABED" w14:textId="77777777" w:rsidR="00900FFE" w:rsidRPr="00DA48A2" w:rsidRDefault="00900FFE" w:rsidP="00900FFE">
                  <w:pPr>
                    <w:spacing w:after="0" w:line="240" w:lineRule="auto"/>
                    <w:jc w:val="right"/>
                    <w:rPr>
                      <w:rFonts w:asciiTheme="minorHAnsi" w:eastAsia="Times New Roman" w:hAnsiTheme="minorHAnsi" w:cstheme="minorHAnsi"/>
                      <w:color w:val="000000"/>
                      <w:sz w:val="20"/>
                      <w:szCs w:val="20"/>
                      <w:lang w:eastAsia="en-US"/>
                    </w:rPr>
                  </w:pPr>
                  <w:r>
                    <w:rPr>
                      <w:rFonts w:asciiTheme="minorHAnsi" w:eastAsia="Times New Roman" w:hAnsiTheme="minorHAnsi" w:cstheme="minorHAnsi"/>
                      <w:color w:val="000000"/>
                      <w:sz w:val="20"/>
                      <w:szCs w:val="20"/>
                      <w:lang w:eastAsia="en-US"/>
                    </w:rPr>
                    <w:t>96</w:t>
                  </w:r>
                </w:p>
              </w:tc>
              <w:tc>
                <w:tcPr>
                  <w:tcW w:w="1080" w:type="dxa"/>
                  <w:tcBorders>
                    <w:top w:val="nil"/>
                    <w:left w:val="nil"/>
                    <w:bottom w:val="single" w:sz="8" w:space="0" w:color="auto"/>
                    <w:right w:val="single" w:sz="8" w:space="0" w:color="auto"/>
                  </w:tcBorders>
                  <w:shd w:val="clear" w:color="auto" w:fill="auto"/>
                  <w:noWrap/>
                  <w:vAlign w:val="center"/>
                </w:tcPr>
                <w:p w14:paraId="261460FE" w14:textId="77777777" w:rsidR="00900FFE" w:rsidRPr="00DA48A2" w:rsidRDefault="00900FFE" w:rsidP="00900FFE">
                  <w:pPr>
                    <w:spacing w:after="0" w:line="240" w:lineRule="auto"/>
                    <w:jc w:val="right"/>
                    <w:rPr>
                      <w:rFonts w:asciiTheme="minorHAnsi" w:eastAsia="Times New Roman" w:hAnsiTheme="minorHAnsi" w:cstheme="minorHAnsi"/>
                      <w:color w:val="000000"/>
                      <w:sz w:val="20"/>
                      <w:szCs w:val="20"/>
                      <w:lang w:eastAsia="en-US"/>
                    </w:rPr>
                  </w:pPr>
                  <w:r>
                    <w:rPr>
                      <w:rFonts w:asciiTheme="minorHAnsi" w:eastAsia="Times New Roman" w:hAnsiTheme="minorHAnsi" w:cstheme="minorHAnsi"/>
                      <w:color w:val="000000"/>
                      <w:sz w:val="20"/>
                      <w:szCs w:val="20"/>
                      <w:lang w:eastAsia="en-US"/>
                    </w:rPr>
                    <w:t>1</w:t>
                  </w:r>
                </w:p>
              </w:tc>
              <w:tc>
                <w:tcPr>
                  <w:tcW w:w="1080" w:type="dxa"/>
                  <w:tcBorders>
                    <w:top w:val="nil"/>
                    <w:left w:val="nil"/>
                    <w:bottom w:val="single" w:sz="8" w:space="0" w:color="auto"/>
                    <w:right w:val="single" w:sz="8" w:space="0" w:color="auto"/>
                  </w:tcBorders>
                </w:tcPr>
                <w:p w14:paraId="76D9A518" w14:textId="77777777" w:rsidR="00900FFE" w:rsidRPr="00DA48A2" w:rsidRDefault="00900FFE" w:rsidP="00900FFE">
                  <w:pPr>
                    <w:jc w:val="right"/>
                    <w:rPr>
                      <w:rFonts w:asciiTheme="minorHAnsi" w:eastAsia="Times New Roman" w:hAnsiTheme="minorHAnsi" w:cstheme="minorHAnsi"/>
                      <w:color w:val="000000"/>
                      <w:sz w:val="20"/>
                      <w:szCs w:val="20"/>
                      <w:lang w:eastAsia="en-US"/>
                    </w:rPr>
                  </w:pPr>
                  <w:r>
                    <w:rPr>
                      <w:color w:val="000000"/>
                    </w:rPr>
                    <w:t>495840</w:t>
                  </w:r>
                </w:p>
              </w:tc>
            </w:tr>
            <w:tr w:rsidR="00900FFE" w:rsidRPr="00DA48A2" w14:paraId="27E116C9" w14:textId="77777777" w:rsidTr="00A60147">
              <w:trPr>
                <w:trHeight w:val="386"/>
              </w:trPr>
              <w:tc>
                <w:tcPr>
                  <w:tcW w:w="3230" w:type="dxa"/>
                  <w:tcBorders>
                    <w:top w:val="nil"/>
                    <w:left w:val="single" w:sz="8" w:space="0" w:color="auto"/>
                    <w:bottom w:val="single" w:sz="8" w:space="0" w:color="auto"/>
                    <w:right w:val="single" w:sz="8" w:space="0" w:color="auto"/>
                  </w:tcBorders>
                  <w:shd w:val="clear" w:color="auto" w:fill="auto"/>
                  <w:vAlign w:val="center"/>
                  <w:hideMark/>
                </w:tcPr>
                <w:p w14:paraId="01CE50A9" w14:textId="0CE7868A" w:rsidR="00900FFE" w:rsidRPr="00DA48A2" w:rsidRDefault="00BA177D" w:rsidP="00900FFE">
                  <w:pPr>
                    <w:spacing w:after="0" w:line="240" w:lineRule="auto"/>
                    <w:rPr>
                      <w:rFonts w:asciiTheme="minorHAnsi" w:eastAsia="Times New Roman" w:hAnsiTheme="minorHAnsi" w:cstheme="minorHAnsi"/>
                      <w:color w:val="000000"/>
                      <w:sz w:val="20"/>
                      <w:szCs w:val="20"/>
                      <w:lang w:eastAsia="en-US"/>
                    </w:rPr>
                  </w:pPr>
                  <w:r>
                    <w:rPr>
                      <w:rFonts w:asciiTheme="minorHAnsi" w:eastAsia="Times New Roman" w:hAnsiTheme="minorHAnsi" w:cstheme="minorHAnsi"/>
                      <w:color w:val="000000"/>
                      <w:sz w:val="20"/>
                      <w:szCs w:val="20"/>
                      <w:lang w:eastAsia="en-US"/>
                    </w:rPr>
                    <w:t>Allocation pour logement</w:t>
                  </w:r>
                  <w:r w:rsidR="00900FFE">
                    <w:rPr>
                      <w:rFonts w:asciiTheme="minorHAnsi" w:eastAsia="Times New Roman" w:hAnsiTheme="minorHAnsi" w:cstheme="minorHAnsi"/>
                      <w:color w:val="000000"/>
                      <w:sz w:val="20"/>
                      <w:szCs w:val="20"/>
                      <w:lang w:eastAsia="en-US"/>
                    </w:rPr>
                    <w:t xml:space="preserve"> </w:t>
                  </w:r>
                </w:p>
              </w:tc>
              <w:tc>
                <w:tcPr>
                  <w:tcW w:w="1620" w:type="dxa"/>
                  <w:tcBorders>
                    <w:top w:val="nil"/>
                    <w:left w:val="nil"/>
                    <w:bottom w:val="single" w:sz="8" w:space="0" w:color="auto"/>
                    <w:right w:val="single" w:sz="8" w:space="0" w:color="auto"/>
                  </w:tcBorders>
                  <w:shd w:val="clear" w:color="auto" w:fill="auto"/>
                  <w:noWrap/>
                  <w:hideMark/>
                </w:tcPr>
                <w:p w14:paraId="62F91200" w14:textId="6B4D3EAB" w:rsidR="00900FFE" w:rsidRPr="00DA48A2" w:rsidRDefault="00F41EAC" w:rsidP="00900FFE">
                  <w:pPr>
                    <w:spacing w:after="0" w:line="240" w:lineRule="auto"/>
                    <w:rPr>
                      <w:rFonts w:asciiTheme="minorHAnsi" w:eastAsia="Times New Roman" w:hAnsiTheme="minorHAnsi" w:cstheme="minorHAnsi"/>
                      <w:color w:val="000000"/>
                      <w:sz w:val="20"/>
                      <w:szCs w:val="20"/>
                      <w:lang w:eastAsia="en-US"/>
                    </w:rPr>
                  </w:pPr>
                  <w:proofErr w:type="gramStart"/>
                  <w:r w:rsidRPr="00AD3565">
                    <w:rPr>
                      <w:rFonts w:asciiTheme="minorHAnsi" w:eastAsia="Times New Roman" w:hAnsiTheme="minorHAnsi" w:cstheme="minorHAnsi"/>
                      <w:color w:val="000000"/>
                      <w:sz w:val="20"/>
                      <w:szCs w:val="20"/>
                      <w:lang w:eastAsia="en-US"/>
                    </w:rPr>
                    <w:t xml:space="preserve">Camp </w:t>
                  </w:r>
                  <w:r>
                    <w:rPr>
                      <w:rFonts w:asciiTheme="minorHAnsi" w:eastAsia="Times New Roman" w:hAnsiTheme="minorHAnsi" w:cstheme="minorHAnsi"/>
                      <w:color w:val="000000"/>
                      <w:sz w:val="20"/>
                      <w:szCs w:val="20"/>
                      <w:lang w:eastAsia="en-US"/>
                    </w:rPr>
                    <w:t xml:space="preserve"> </w:t>
                  </w:r>
                  <w:r w:rsidR="00900FFE" w:rsidRPr="00AD3565">
                    <w:rPr>
                      <w:rFonts w:asciiTheme="minorHAnsi" w:eastAsia="Times New Roman" w:hAnsiTheme="minorHAnsi" w:cstheme="minorHAnsi"/>
                      <w:color w:val="000000"/>
                      <w:sz w:val="20"/>
                      <w:szCs w:val="20"/>
                      <w:lang w:eastAsia="en-US"/>
                    </w:rPr>
                    <w:t>M'Bera</w:t>
                  </w:r>
                  <w:proofErr w:type="gramEnd"/>
                  <w:r w:rsidR="00900FFE" w:rsidRPr="00AD3565">
                    <w:rPr>
                      <w:rFonts w:asciiTheme="minorHAnsi" w:eastAsia="Times New Roman" w:hAnsiTheme="minorHAnsi" w:cstheme="minorHAnsi"/>
                      <w:color w:val="000000"/>
                      <w:sz w:val="20"/>
                      <w:szCs w:val="20"/>
                      <w:lang w:eastAsia="en-US"/>
                    </w:rPr>
                    <w:t xml:space="preserve"> </w:t>
                  </w:r>
                </w:p>
              </w:tc>
              <w:tc>
                <w:tcPr>
                  <w:tcW w:w="1200" w:type="dxa"/>
                  <w:tcBorders>
                    <w:top w:val="nil"/>
                    <w:left w:val="nil"/>
                    <w:bottom w:val="single" w:sz="8" w:space="0" w:color="auto"/>
                    <w:right w:val="single" w:sz="8" w:space="0" w:color="auto"/>
                  </w:tcBorders>
                  <w:shd w:val="clear" w:color="auto" w:fill="auto"/>
                  <w:noWrap/>
                  <w:vAlign w:val="center"/>
                </w:tcPr>
                <w:p w14:paraId="08346319" w14:textId="77777777" w:rsidR="00900FFE" w:rsidRPr="00DA48A2" w:rsidRDefault="00900FFE" w:rsidP="00900FFE">
                  <w:pPr>
                    <w:spacing w:after="0" w:line="240" w:lineRule="auto"/>
                    <w:jc w:val="right"/>
                    <w:rPr>
                      <w:rFonts w:asciiTheme="minorHAnsi" w:eastAsia="Times New Roman" w:hAnsiTheme="minorHAnsi" w:cstheme="minorHAnsi"/>
                      <w:color w:val="000000"/>
                      <w:sz w:val="20"/>
                      <w:szCs w:val="20"/>
                      <w:lang w:eastAsia="en-US"/>
                    </w:rPr>
                  </w:pPr>
                  <w:r>
                    <w:rPr>
                      <w:rFonts w:asciiTheme="minorHAnsi" w:eastAsia="Times New Roman" w:hAnsiTheme="minorHAnsi" w:cstheme="minorHAnsi"/>
                      <w:color w:val="000000"/>
                      <w:sz w:val="20"/>
                      <w:szCs w:val="20"/>
                      <w:lang w:eastAsia="en-US"/>
                    </w:rPr>
                    <w:t>1000</w:t>
                  </w:r>
                </w:p>
              </w:tc>
              <w:tc>
                <w:tcPr>
                  <w:tcW w:w="1080" w:type="dxa"/>
                  <w:tcBorders>
                    <w:top w:val="nil"/>
                    <w:left w:val="nil"/>
                    <w:bottom w:val="single" w:sz="8" w:space="0" w:color="auto"/>
                    <w:right w:val="single" w:sz="8" w:space="0" w:color="auto"/>
                  </w:tcBorders>
                  <w:shd w:val="clear" w:color="auto" w:fill="auto"/>
                  <w:noWrap/>
                  <w:vAlign w:val="center"/>
                  <w:hideMark/>
                </w:tcPr>
                <w:p w14:paraId="5CCA5912" w14:textId="77777777" w:rsidR="00900FFE" w:rsidRPr="00A6713B" w:rsidRDefault="00900FFE" w:rsidP="00900FFE">
                  <w:pPr>
                    <w:spacing w:after="0" w:line="240" w:lineRule="auto"/>
                    <w:jc w:val="right"/>
                    <w:rPr>
                      <w:rFonts w:asciiTheme="minorHAnsi" w:eastAsia="Times New Roman" w:hAnsiTheme="minorHAnsi" w:cstheme="minorHAnsi"/>
                      <w:color w:val="000000"/>
                      <w:sz w:val="20"/>
                      <w:szCs w:val="20"/>
                      <w:lang w:eastAsia="en-US"/>
                    </w:rPr>
                  </w:pPr>
                  <w:r w:rsidRPr="00A6713B">
                    <w:rPr>
                      <w:rFonts w:asciiTheme="minorHAnsi" w:eastAsia="Times New Roman" w:hAnsiTheme="minorHAnsi" w:cstheme="minorHAnsi"/>
                      <w:color w:val="000000"/>
                      <w:sz w:val="20"/>
                      <w:szCs w:val="20"/>
                      <w:lang w:eastAsia="en-US"/>
                    </w:rPr>
                    <w:t>580</w:t>
                  </w:r>
                </w:p>
              </w:tc>
              <w:tc>
                <w:tcPr>
                  <w:tcW w:w="1080" w:type="dxa"/>
                  <w:tcBorders>
                    <w:top w:val="nil"/>
                    <w:left w:val="nil"/>
                    <w:bottom w:val="single" w:sz="8" w:space="0" w:color="auto"/>
                    <w:right w:val="single" w:sz="8" w:space="0" w:color="auto"/>
                  </w:tcBorders>
                  <w:shd w:val="clear" w:color="auto" w:fill="auto"/>
                  <w:noWrap/>
                  <w:vAlign w:val="center"/>
                  <w:hideMark/>
                </w:tcPr>
                <w:p w14:paraId="59C80112" w14:textId="77777777" w:rsidR="00900FFE" w:rsidRPr="00DA48A2" w:rsidRDefault="00900FFE" w:rsidP="00900FFE">
                  <w:pPr>
                    <w:spacing w:after="0" w:line="240" w:lineRule="auto"/>
                    <w:jc w:val="right"/>
                    <w:rPr>
                      <w:rFonts w:asciiTheme="minorHAnsi" w:eastAsia="Times New Roman" w:hAnsiTheme="minorHAnsi" w:cstheme="minorHAnsi"/>
                      <w:color w:val="000000"/>
                      <w:sz w:val="20"/>
                      <w:szCs w:val="20"/>
                      <w:lang w:eastAsia="en-US"/>
                    </w:rPr>
                  </w:pPr>
                  <w:r>
                    <w:rPr>
                      <w:rFonts w:asciiTheme="minorHAnsi" w:eastAsia="Times New Roman" w:hAnsiTheme="minorHAnsi" w:cstheme="minorHAnsi"/>
                      <w:color w:val="000000"/>
                      <w:sz w:val="20"/>
                      <w:szCs w:val="20"/>
                      <w:lang w:eastAsia="en-US"/>
                    </w:rPr>
                    <w:t>1</w:t>
                  </w:r>
                </w:p>
              </w:tc>
              <w:tc>
                <w:tcPr>
                  <w:tcW w:w="1080" w:type="dxa"/>
                  <w:tcBorders>
                    <w:top w:val="nil"/>
                    <w:left w:val="nil"/>
                    <w:bottom w:val="single" w:sz="8" w:space="0" w:color="auto"/>
                    <w:right w:val="single" w:sz="8" w:space="0" w:color="auto"/>
                  </w:tcBorders>
                </w:tcPr>
                <w:p w14:paraId="68DE0134" w14:textId="77777777" w:rsidR="00900FFE" w:rsidRPr="00DA48A2" w:rsidRDefault="00900FFE" w:rsidP="00900FFE">
                  <w:pPr>
                    <w:jc w:val="right"/>
                    <w:rPr>
                      <w:rFonts w:asciiTheme="minorHAnsi" w:eastAsia="Times New Roman" w:hAnsiTheme="minorHAnsi" w:cstheme="minorHAnsi"/>
                      <w:color w:val="000000"/>
                      <w:sz w:val="20"/>
                      <w:szCs w:val="20"/>
                      <w:lang w:eastAsia="en-US"/>
                    </w:rPr>
                  </w:pPr>
                  <w:r>
                    <w:rPr>
                      <w:rFonts w:asciiTheme="minorHAnsi" w:eastAsia="Times New Roman" w:hAnsiTheme="minorHAnsi" w:cstheme="minorHAnsi"/>
                      <w:color w:val="000000"/>
                      <w:sz w:val="20"/>
                      <w:szCs w:val="20"/>
                      <w:lang w:eastAsia="en-US"/>
                    </w:rPr>
                    <w:t>580000</w:t>
                  </w:r>
                </w:p>
              </w:tc>
            </w:tr>
            <w:tr w:rsidR="00900FFE" w:rsidRPr="00DA48A2" w14:paraId="3C3EC529" w14:textId="77777777" w:rsidTr="00A60147">
              <w:trPr>
                <w:trHeight w:val="386"/>
              </w:trPr>
              <w:tc>
                <w:tcPr>
                  <w:tcW w:w="3230" w:type="dxa"/>
                  <w:tcBorders>
                    <w:top w:val="nil"/>
                    <w:left w:val="single" w:sz="8" w:space="0" w:color="auto"/>
                    <w:bottom w:val="single" w:sz="8" w:space="0" w:color="auto"/>
                    <w:right w:val="single" w:sz="8" w:space="0" w:color="auto"/>
                  </w:tcBorders>
                  <w:shd w:val="clear" w:color="auto" w:fill="auto"/>
                  <w:vAlign w:val="center"/>
                </w:tcPr>
                <w:p w14:paraId="0133F045" w14:textId="0955404E" w:rsidR="00900FFE" w:rsidRDefault="00BA177D" w:rsidP="00900FFE">
                  <w:pPr>
                    <w:spacing w:after="0" w:line="240" w:lineRule="auto"/>
                    <w:rPr>
                      <w:rFonts w:asciiTheme="minorHAnsi" w:eastAsia="Times New Roman" w:hAnsiTheme="minorHAnsi" w:cstheme="minorHAnsi"/>
                      <w:color w:val="000000"/>
                      <w:sz w:val="20"/>
                      <w:szCs w:val="20"/>
                      <w:lang w:eastAsia="en-US"/>
                    </w:rPr>
                  </w:pPr>
                  <w:r>
                    <w:rPr>
                      <w:rFonts w:asciiTheme="minorHAnsi" w:eastAsia="Times New Roman" w:hAnsiTheme="minorHAnsi" w:cstheme="minorHAnsi"/>
                      <w:color w:val="000000"/>
                      <w:sz w:val="20"/>
                      <w:szCs w:val="20"/>
                      <w:lang w:eastAsia="en-US"/>
                    </w:rPr>
                    <w:t>Allocation pour logement</w:t>
                  </w:r>
                </w:p>
              </w:tc>
              <w:tc>
                <w:tcPr>
                  <w:tcW w:w="1620" w:type="dxa"/>
                  <w:tcBorders>
                    <w:top w:val="nil"/>
                    <w:left w:val="nil"/>
                    <w:bottom w:val="single" w:sz="8" w:space="0" w:color="auto"/>
                    <w:right w:val="single" w:sz="8" w:space="0" w:color="auto"/>
                  </w:tcBorders>
                  <w:shd w:val="clear" w:color="auto" w:fill="auto"/>
                  <w:noWrap/>
                </w:tcPr>
                <w:p w14:paraId="409532FA" w14:textId="6AC01AFD" w:rsidR="00900FFE" w:rsidRPr="00AD3565" w:rsidRDefault="00900FFE" w:rsidP="00900FFE">
                  <w:pPr>
                    <w:spacing w:after="0" w:line="240" w:lineRule="auto"/>
                    <w:rPr>
                      <w:rFonts w:asciiTheme="minorHAnsi" w:eastAsia="Times New Roman" w:hAnsiTheme="minorHAnsi" w:cstheme="minorHAnsi"/>
                      <w:color w:val="000000"/>
                      <w:sz w:val="20"/>
                      <w:szCs w:val="20"/>
                      <w:lang w:eastAsia="en-US"/>
                    </w:rPr>
                  </w:pPr>
                  <w:r>
                    <w:rPr>
                      <w:rFonts w:asciiTheme="minorHAnsi" w:eastAsia="Times New Roman" w:hAnsiTheme="minorHAnsi" w:cstheme="minorHAnsi"/>
                      <w:color w:val="000000"/>
                      <w:sz w:val="20"/>
                      <w:szCs w:val="20"/>
                      <w:lang w:eastAsia="en-US"/>
                    </w:rPr>
                    <w:t>HEC (</w:t>
                  </w:r>
                  <w:r w:rsidR="00F41EAC">
                    <w:rPr>
                      <w:rFonts w:asciiTheme="minorHAnsi" w:eastAsia="Times New Roman" w:hAnsiTheme="minorHAnsi" w:cstheme="minorHAnsi"/>
                      <w:color w:val="000000"/>
                      <w:sz w:val="20"/>
                      <w:szCs w:val="20"/>
                      <w:lang w:eastAsia="en-US"/>
                    </w:rPr>
                    <w:t>hors</w:t>
                  </w:r>
                  <w:r>
                    <w:rPr>
                      <w:rFonts w:asciiTheme="minorHAnsi" w:eastAsia="Times New Roman" w:hAnsiTheme="minorHAnsi" w:cstheme="minorHAnsi"/>
                      <w:color w:val="000000"/>
                      <w:sz w:val="20"/>
                      <w:szCs w:val="20"/>
                      <w:lang w:eastAsia="en-US"/>
                    </w:rPr>
                    <w:t xml:space="preserve"> camp)</w:t>
                  </w:r>
                </w:p>
              </w:tc>
              <w:tc>
                <w:tcPr>
                  <w:tcW w:w="1200" w:type="dxa"/>
                  <w:tcBorders>
                    <w:top w:val="nil"/>
                    <w:left w:val="nil"/>
                    <w:bottom w:val="single" w:sz="8" w:space="0" w:color="auto"/>
                    <w:right w:val="single" w:sz="8" w:space="0" w:color="auto"/>
                  </w:tcBorders>
                  <w:shd w:val="clear" w:color="auto" w:fill="auto"/>
                  <w:noWrap/>
                  <w:vAlign w:val="center"/>
                </w:tcPr>
                <w:p w14:paraId="36D1653B" w14:textId="77777777" w:rsidR="00900FFE" w:rsidRPr="00DA48A2" w:rsidRDefault="00900FFE" w:rsidP="00900FFE">
                  <w:pPr>
                    <w:spacing w:after="0" w:line="240" w:lineRule="auto"/>
                    <w:jc w:val="right"/>
                    <w:rPr>
                      <w:rFonts w:asciiTheme="minorHAnsi" w:eastAsia="Times New Roman" w:hAnsiTheme="minorHAnsi" w:cstheme="minorHAnsi"/>
                      <w:color w:val="000000"/>
                      <w:sz w:val="20"/>
                      <w:szCs w:val="20"/>
                      <w:lang w:eastAsia="en-US"/>
                    </w:rPr>
                  </w:pPr>
                  <w:r>
                    <w:rPr>
                      <w:rFonts w:asciiTheme="minorHAnsi" w:eastAsia="Times New Roman" w:hAnsiTheme="minorHAnsi" w:cstheme="minorHAnsi"/>
                      <w:color w:val="000000"/>
                      <w:sz w:val="20"/>
                      <w:szCs w:val="20"/>
                      <w:lang w:eastAsia="en-US"/>
                    </w:rPr>
                    <w:t>1500</w:t>
                  </w:r>
                </w:p>
              </w:tc>
              <w:tc>
                <w:tcPr>
                  <w:tcW w:w="1080" w:type="dxa"/>
                  <w:tcBorders>
                    <w:top w:val="nil"/>
                    <w:left w:val="nil"/>
                    <w:bottom w:val="single" w:sz="8" w:space="0" w:color="auto"/>
                    <w:right w:val="single" w:sz="8" w:space="0" w:color="auto"/>
                  </w:tcBorders>
                  <w:shd w:val="clear" w:color="auto" w:fill="auto"/>
                  <w:noWrap/>
                  <w:vAlign w:val="center"/>
                </w:tcPr>
                <w:p w14:paraId="1A256785" w14:textId="77777777" w:rsidR="00900FFE" w:rsidRPr="00A6713B" w:rsidRDefault="00900FFE" w:rsidP="00900FFE">
                  <w:pPr>
                    <w:spacing w:after="0" w:line="240" w:lineRule="auto"/>
                    <w:jc w:val="right"/>
                    <w:rPr>
                      <w:rFonts w:asciiTheme="minorHAnsi" w:eastAsia="Times New Roman" w:hAnsiTheme="minorHAnsi" w:cstheme="minorHAnsi"/>
                      <w:color w:val="000000"/>
                      <w:sz w:val="20"/>
                      <w:szCs w:val="20"/>
                      <w:lang w:eastAsia="en-US"/>
                    </w:rPr>
                  </w:pPr>
                  <w:r w:rsidRPr="00A6713B">
                    <w:rPr>
                      <w:rFonts w:asciiTheme="minorHAnsi" w:eastAsia="Times New Roman" w:hAnsiTheme="minorHAnsi" w:cstheme="minorHAnsi"/>
                      <w:color w:val="000000"/>
                      <w:sz w:val="20"/>
                      <w:szCs w:val="20"/>
                      <w:lang w:eastAsia="en-US"/>
                    </w:rPr>
                    <w:t>580</w:t>
                  </w:r>
                </w:p>
              </w:tc>
              <w:tc>
                <w:tcPr>
                  <w:tcW w:w="1080" w:type="dxa"/>
                  <w:tcBorders>
                    <w:top w:val="nil"/>
                    <w:left w:val="nil"/>
                    <w:bottom w:val="single" w:sz="8" w:space="0" w:color="auto"/>
                    <w:right w:val="single" w:sz="8" w:space="0" w:color="auto"/>
                  </w:tcBorders>
                  <w:shd w:val="clear" w:color="auto" w:fill="auto"/>
                  <w:noWrap/>
                  <w:vAlign w:val="center"/>
                </w:tcPr>
                <w:p w14:paraId="2801200D" w14:textId="77777777" w:rsidR="00900FFE" w:rsidRPr="00DA48A2" w:rsidRDefault="00900FFE" w:rsidP="00900FFE">
                  <w:pPr>
                    <w:spacing w:after="0" w:line="240" w:lineRule="auto"/>
                    <w:jc w:val="right"/>
                    <w:rPr>
                      <w:rFonts w:asciiTheme="minorHAnsi" w:eastAsia="Times New Roman" w:hAnsiTheme="minorHAnsi" w:cstheme="minorHAnsi"/>
                      <w:color w:val="000000"/>
                      <w:sz w:val="20"/>
                      <w:szCs w:val="20"/>
                      <w:lang w:eastAsia="en-US"/>
                    </w:rPr>
                  </w:pPr>
                  <w:r>
                    <w:rPr>
                      <w:rFonts w:asciiTheme="minorHAnsi" w:eastAsia="Times New Roman" w:hAnsiTheme="minorHAnsi" w:cstheme="minorHAnsi"/>
                      <w:color w:val="000000"/>
                      <w:sz w:val="20"/>
                      <w:szCs w:val="20"/>
                      <w:lang w:eastAsia="en-US"/>
                    </w:rPr>
                    <w:t>1</w:t>
                  </w:r>
                </w:p>
              </w:tc>
              <w:tc>
                <w:tcPr>
                  <w:tcW w:w="1080" w:type="dxa"/>
                  <w:tcBorders>
                    <w:top w:val="nil"/>
                    <w:left w:val="nil"/>
                    <w:bottom w:val="single" w:sz="8" w:space="0" w:color="auto"/>
                    <w:right w:val="single" w:sz="8" w:space="0" w:color="auto"/>
                  </w:tcBorders>
                </w:tcPr>
                <w:p w14:paraId="4E37582E" w14:textId="77777777" w:rsidR="00900FFE" w:rsidRPr="00DA48A2" w:rsidRDefault="00900FFE" w:rsidP="00900FFE">
                  <w:pPr>
                    <w:jc w:val="right"/>
                    <w:rPr>
                      <w:rFonts w:asciiTheme="minorHAnsi" w:eastAsia="Times New Roman" w:hAnsiTheme="minorHAnsi" w:cstheme="minorHAnsi"/>
                      <w:color w:val="000000"/>
                      <w:sz w:val="20"/>
                      <w:szCs w:val="20"/>
                      <w:lang w:eastAsia="en-US"/>
                    </w:rPr>
                  </w:pPr>
                  <w:r>
                    <w:rPr>
                      <w:rFonts w:asciiTheme="minorHAnsi" w:eastAsia="Times New Roman" w:hAnsiTheme="minorHAnsi" w:cstheme="minorHAnsi"/>
                      <w:color w:val="000000"/>
                      <w:sz w:val="20"/>
                      <w:szCs w:val="20"/>
                      <w:lang w:eastAsia="en-US"/>
                    </w:rPr>
                    <w:t>870000</w:t>
                  </w:r>
                </w:p>
              </w:tc>
            </w:tr>
            <w:tr w:rsidR="00900FFE" w:rsidRPr="00DA48A2" w14:paraId="2DDB61FB" w14:textId="77777777" w:rsidTr="00A60147">
              <w:trPr>
                <w:trHeight w:val="377"/>
              </w:trPr>
              <w:tc>
                <w:tcPr>
                  <w:tcW w:w="3230" w:type="dxa"/>
                  <w:tcBorders>
                    <w:top w:val="nil"/>
                    <w:left w:val="single" w:sz="8" w:space="0" w:color="auto"/>
                    <w:bottom w:val="single" w:sz="8" w:space="0" w:color="auto"/>
                    <w:right w:val="single" w:sz="8" w:space="0" w:color="auto"/>
                  </w:tcBorders>
                  <w:shd w:val="clear" w:color="auto" w:fill="auto"/>
                  <w:vAlign w:val="center"/>
                  <w:hideMark/>
                </w:tcPr>
                <w:p w14:paraId="4F1E97AD" w14:textId="04F62DC1" w:rsidR="00900FFE" w:rsidRPr="00DA48A2" w:rsidRDefault="00BA177D" w:rsidP="00900FFE">
                  <w:pPr>
                    <w:spacing w:after="0" w:line="240" w:lineRule="auto"/>
                    <w:rPr>
                      <w:rFonts w:asciiTheme="minorHAnsi" w:eastAsia="Times New Roman" w:hAnsiTheme="minorHAnsi" w:cstheme="minorHAnsi"/>
                      <w:color w:val="000000"/>
                      <w:sz w:val="20"/>
                      <w:szCs w:val="20"/>
                      <w:lang w:eastAsia="en-US"/>
                    </w:rPr>
                  </w:pPr>
                  <w:r>
                    <w:rPr>
                      <w:rFonts w:asciiTheme="minorHAnsi" w:eastAsia="Times New Roman" w:hAnsiTheme="minorHAnsi" w:cstheme="minorHAnsi"/>
                      <w:color w:val="000000"/>
                      <w:sz w:val="20"/>
                      <w:szCs w:val="20"/>
                      <w:lang w:eastAsia="en-US"/>
                    </w:rPr>
                    <w:t>Aide pour rapatriement volontaire</w:t>
                  </w:r>
                </w:p>
              </w:tc>
              <w:tc>
                <w:tcPr>
                  <w:tcW w:w="1620" w:type="dxa"/>
                  <w:tcBorders>
                    <w:top w:val="nil"/>
                    <w:left w:val="nil"/>
                    <w:bottom w:val="single" w:sz="8" w:space="0" w:color="auto"/>
                    <w:right w:val="single" w:sz="8" w:space="0" w:color="auto"/>
                  </w:tcBorders>
                  <w:shd w:val="clear" w:color="auto" w:fill="auto"/>
                  <w:noWrap/>
                  <w:hideMark/>
                </w:tcPr>
                <w:p w14:paraId="63ADA342" w14:textId="41450134" w:rsidR="00900FFE" w:rsidRPr="00DA48A2" w:rsidRDefault="00F41EAC" w:rsidP="00900FFE">
                  <w:pPr>
                    <w:spacing w:after="0" w:line="240" w:lineRule="auto"/>
                    <w:rPr>
                      <w:rFonts w:asciiTheme="minorHAnsi" w:eastAsia="Times New Roman" w:hAnsiTheme="minorHAnsi" w:cstheme="minorHAnsi"/>
                      <w:color w:val="000000"/>
                      <w:sz w:val="20"/>
                      <w:szCs w:val="20"/>
                      <w:lang w:eastAsia="en-US"/>
                    </w:rPr>
                  </w:pPr>
                  <w:r w:rsidRPr="00AD3565">
                    <w:rPr>
                      <w:rFonts w:asciiTheme="minorHAnsi" w:eastAsia="Times New Roman" w:hAnsiTheme="minorHAnsi" w:cstheme="minorHAnsi"/>
                      <w:color w:val="000000"/>
                      <w:sz w:val="20"/>
                      <w:szCs w:val="20"/>
                      <w:lang w:eastAsia="en-US"/>
                    </w:rPr>
                    <w:t xml:space="preserve">Camp </w:t>
                  </w:r>
                  <w:r w:rsidR="00900FFE" w:rsidRPr="00AD3565">
                    <w:rPr>
                      <w:rFonts w:asciiTheme="minorHAnsi" w:eastAsia="Times New Roman" w:hAnsiTheme="minorHAnsi" w:cstheme="minorHAnsi"/>
                      <w:color w:val="000000"/>
                      <w:sz w:val="20"/>
                      <w:szCs w:val="20"/>
                      <w:lang w:eastAsia="en-US"/>
                    </w:rPr>
                    <w:t xml:space="preserve">M'Bera </w:t>
                  </w:r>
                </w:p>
              </w:tc>
              <w:tc>
                <w:tcPr>
                  <w:tcW w:w="1200" w:type="dxa"/>
                  <w:tcBorders>
                    <w:top w:val="nil"/>
                    <w:left w:val="nil"/>
                    <w:bottom w:val="single" w:sz="8" w:space="0" w:color="auto"/>
                    <w:right w:val="single" w:sz="8" w:space="0" w:color="auto"/>
                  </w:tcBorders>
                  <w:shd w:val="clear" w:color="auto" w:fill="auto"/>
                  <w:noWrap/>
                  <w:vAlign w:val="center"/>
                </w:tcPr>
                <w:p w14:paraId="175D0BE5" w14:textId="77777777" w:rsidR="00900FFE" w:rsidRPr="00DA48A2" w:rsidRDefault="00900FFE" w:rsidP="00900FFE">
                  <w:pPr>
                    <w:spacing w:after="0" w:line="240" w:lineRule="auto"/>
                    <w:jc w:val="right"/>
                    <w:rPr>
                      <w:rFonts w:asciiTheme="minorHAnsi" w:eastAsia="Times New Roman" w:hAnsiTheme="minorHAnsi" w:cstheme="minorHAnsi"/>
                      <w:color w:val="000000"/>
                      <w:sz w:val="20"/>
                      <w:szCs w:val="20"/>
                      <w:lang w:eastAsia="en-US"/>
                    </w:rPr>
                  </w:pPr>
                  <w:r>
                    <w:rPr>
                      <w:rFonts w:asciiTheme="minorHAnsi" w:eastAsia="Times New Roman" w:hAnsiTheme="minorHAnsi" w:cstheme="minorHAnsi"/>
                      <w:color w:val="000000"/>
                      <w:sz w:val="20"/>
                      <w:szCs w:val="20"/>
                      <w:lang w:eastAsia="en-US"/>
                    </w:rPr>
                    <w:t>500</w:t>
                  </w:r>
                </w:p>
              </w:tc>
              <w:tc>
                <w:tcPr>
                  <w:tcW w:w="1080" w:type="dxa"/>
                  <w:tcBorders>
                    <w:top w:val="nil"/>
                    <w:left w:val="nil"/>
                    <w:bottom w:val="single" w:sz="8" w:space="0" w:color="auto"/>
                    <w:right w:val="single" w:sz="8" w:space="0" w:color="auto"/>
                  </w:tcBorders>
                  <w:shd w:val="clear" w:color="auto" w:fill="auto"/>
                  <w:noWrap/>
                  <w:vAlign w:val="center"/>
                  <w:hideMark/>
                </w:tcPr>
                <w:p w14:paraId="679E1FC3" w14:textId="77777777" w:rsidR="00900FFE" w:rsidRPr="00A6713B" w:rsidRDefault="00900FFE" w:rsidP="00900FFE">
                  <w:pPr>
                    <w:spacing w:after="0" w:line="240" w:lineRule="auto"/>
                    <w:jc w:val="right"/>
                    <w:rPr>
                      <w:rFonts w:asciiTheme="minorHAnsi" w:eastAsia="Times New Roman" w:hAnsiTheme="minorHAnsi" w:cstheme="minorHAnsi"/>
                      <w:color w:val="000000"/>
                      <w:sz w:val="20"/>
                      <w:szCs w:val="20"/>
                      <w:lang w:eastAsia="en-US"/>
                    </w:rPr>
                  </w:pPr>
                  <w:r w:rsidRPr="00A6713B">
                    <w:rPr>
                      <w:rFonts w:asciiTheme="minorHAnsi" w:eastAsia="Times New Roman" w:hAnsiTheme="minorHAnsi" w:cstheme="minorHAnsi"/>
                      <w:color w:val="000000"/>
                      <w:sz w:val="20"/>
                      <w:szCs w:val="20"/>
                      <w:lang w:eastAsia="en-US"/>
                    </w:rPr>
                    <w:t>70</w:t>
                  </w:r>
                </w:p>
              </w:tc>
              <w:tc>
                <w:tcPr>
                  <w:tcW w:w="1080" w:type="dxa"/>
                  <w:tcBorders>
                    <w:top w:val="nil"/>
                    <w:left w:val="nil"/>
                    <w:bottom w:val="single" w:sz="8" w:space="0" w:color="auto"/>
                    <w:right w:val="single" w:sz="8" w:space="0" w:color="auto"/>
                  </w:tcBorders>
                  <w:shd w:val="clear" w:color="auto" w:fill="auto"/>
                  <w:noWrap/>
                  <w:vAlign w:val="center"/>
                  <w:hideMark/>
                </w:tcPr>
                <w:p w14:paraId="3835784C" w14:textId="77777777" w:rsidR="00900FFE" w:rsidRPr="00DA48A2" w:rsidRDefault="00900FFE" w:rsidP="00900FFE">
                  <w:pPr>
                    <w:spacing w:after="0" w:line="240" w:lineRule="auto"/>
                    <w:jc w:val="right"/>
                    <w:rPr>
                      <w:rFonts w:asciiTheme="minorHAnsi" w:eastAsia="Times New Roman" w:hAnsiTheme="minorHAnsi" w:cstheme="minorHAnsi"/>
                      <w:color w:val="000000"/>
                      <w:sz w:val="20"/>
                      <w:szCs w:val="20"/>
                      <w:lang w:eastAsia="en-US"/>
                    </w:rPr>
                  </w:pPr>
                  <w:r w:rsidRPr="00DA48A2">
                    <w:rPr>
                      <w:rFonts w:asciiTheme="minorHAnsi" w:eastAsia="Times New Roman" w:hAnsiTheme="minorHAnsi" w:cstheme="minorHAnsi"/>
                      <w:color w:val="000000"/>
                      <w:sz w:val="20"/>
                      <w:szCs w:val="20"/>
                      <w:lang w:eastAsia="en-US"/>
                    </w:rPr>
                    <w:t>1</w:t>
                  </w:r>
                </w:p>
              </w:tc>
              <w:tc>
                <w:tcPr>
                  <w:tcW w:w="1080" w:type="dxa"/>
                  <w:tcBorders>
                    <w:top w:val="nil"/>
                    <w:left w:val="nil"/>
                    <w:bottom w:val="single" w:sz="8" w:space="0" w:color="auto"/>
                    <w:right w:val="single" w:sz="8" w:space="0" w:color="auto"/>
                  </w:tcBorders>
                </w:tcPr>
                <w:p w14:paraId="7654CA22" w14:textId="77777777" w:rsidR="00900FFE" w:rsidRPr="00DA48A2" w:rsidRDefault="00900FFE" w:rsidP="00900FFE">
                  <w:pPr>
                    <w:jc w:val="right"/>
                    <w:rPr>
                      <w:rFonts w:asciiTheme="minorHAnsi" w:eastAsia="Times New Roman" w:hAnsiTheme="minorHAnsi" w:cstheme="minorHAnsi"/>
                      <w:color w:val="000000"/>
                      <w:sz w:val="20"/>
                      <w:szCs w:val="20"/>
                      <w:lang w:eastAsia="en-US"/>
                    </w:rPr>
                  </w:pPr>
                  <w:r>
                    <w:rPr>
                      <w:color w:val="000000"/>
                    </w:rPr>
                    <w:t>35000</w:t>
                  </w:r>
                </w:p>
              </w:tc>
            </w:tr>
            <w:tr w:rsidR="00900FFE" w:rsidRPr="00DA48A2" w14:paraId="2BC23E6F" w14:textId="77777777" w:rsidTr="00A60147">
              <w:trPr>
                <w:trHeight w:val="404"/>
              </w:trPr>
              <w:tc>
                <w:tcPr>
                  <w:tcW w:w="3230" w:type="dxa"/>
                  <w:tcBorders>
                    <w:top w:val="nil"/>
                    <w:left w:val="single" w:sz="8" w:space="0" w:color="auto"/>
                    <w:bottom w:val="single" w:sz="8" w:space="0" w:color="auto"/>
                    <w:right w:val="single" w:sz="8" w:space="0" w:color="auto"/>
                  </w:tcBorders>
                  <w:shd w:val="clear" w:color="auto" w:fill="auto"/>
                  <w:vAlign w:val="center"/>
                  <w:hideMark/>
                </w:tcPr>
                <w:p w14:paraId="544A95C0" w14:textId="1DBDAE1A" w:rsidR="00900FFE" w:rsidRPr="00DA48A2" w:rsidRDefault="00431D6F" w:rsidP="00900FFE">
                  <w:pPr>
                    <w:spacing w:after="0" w:line="240" w:lineRule="auto"/>
                    <w:rPr>
                      <w:rFonts w:asciiTheme="minorHAnsi" w:eastAsia="Times New Roman" w:hAnsiTheme="minorHAnsi" w:cstheme="minorHAnsi"/>
                      <w:color w:val="000000"/>
                      <w:sz w:val="20"/>
                      <w:szCs w:val="20"/>
                      <w:lang w:eastAsia="en-US"/>
                    </w:rPr>
                  </w:pPr>
                  <w:r w:rsidRPr="00431D6F">
                    <w:rPr>
                      <w:rFonts w:asciiTheme="minorHAnsi" w:eastAsia="Times New Roman" w:hAnsiTheme="minorHAnsi" w:cstheme="minorHAnsi"/>
                      <w:color w:val="000000"/>
                      <w:sz w:val="20"/>
                      <w:szCs w:val="20"/>
                      <w:lang w:eastAsia="en-US"/>
                    </w:rPr>
                    <w:t>Aides aux moyens de subsistance</w:t>
                  </w:r>
                </w:p>
              </w:tc>
              <w:tc>
                <w:tcPr>
                  <w:tcW w:w="1620" w:type="dxa"/>
                  <w:tcBorders>
                    <w:top w:val="nil"/>
                    <w:left w:val="nil"/>
                    <w:bottom w:val="single" w:sz="8" w:space="0" w:color="auto"/>
                    <w:right w:val="single" w:sz="8" w:space="0" w:color="auto"/>
                  </w:tcBorders>
                  <w:shd w:val="clear" w:color="auto" w:fill="auto"/>
                  <w:noWrap/>
                  <w:hideMark/>
                </w:tcPr>
                <w:p w14:paraId="4C5FD019" w14:textId="3B3EAB30" w:rsidR="00900FFE" w:rsidRPr="00DA48A2" w:rsidRDefault="00F41EAC" w:rsidP="00900FFE">
                  <w:pPr>
                    <w:spacing w:after="0" w:line="240" w:lineRule="auto"/>
                    <w:rPr>
                      <w:rFonts w:asciiTheme="minorHAnsi" w:eastAsia="Times New Roman" w:hAnsiTheme="minorHAnsi" w:cstheme="minorHAnsi"/>
                      <w:color w:val="000000"/>
                      <w:sz w:val="20"/>
                      <w:szCs w:val="20"/>
                      <w:lang w:eastAsia="en-US"/>
                    </w:rPr>
                  </w:pPr>
                  <w:r w:rsidRPr="00AD3565">
                    <w:rPr>
                      <w:rFonts w:asciiTheme="minorHAnsi" w:eastAsia="Times New Roman" w:hAnsiTheme="minorHAnsi" w:cstheme="minorHAnsi"/>
                      <w:color w:val="000000"/>
                      <w:sz w:val="20"/>
                      <w:szCs w:val="20"/>
                      <w:lang w:eastAsia="en-US"/>
                    </w:rPr>
                    <w:t xml:space="preserve">Camp </w:t>
                  </w:r>
                  <w:r w:rsidR="00900FFE" w:rsidRPr="00AD3565">
                    <w:rPr>
                      <w:rFonts w:asciiTheme="minorHAnsi" w:eastAsia="Times New Roman" w:hAnsiTheme="minorHAnsi" w:cstheme="minorHAnsi"/>
                      <w:color w:val="000000"/>
                      <w:sz w:val="20"/>
                      <w:szCs w:val="20"/>
                      <w:lang w:eastAsia="en-US"/>
                    </w:rPr>
                    <w:t xml:space="preserve">M'Bera </w:t>
                  </w:r>
                </w:p>
              </w:tc>
              <w:tc>
                <w:tcPr>
                  <w:tcW w:w="1200" w:type="dxa"/>
                  <w:tcBorders>
                    <w:top w:val="nil"/>
                    <w:left w:val="nil"/>
                    <w:bottom w:val="single" w:sz="8" w:space="0" w:color="auto"/>
                    <w:right w:val="single" w:sz="8" w:space="0" w:color="auto"/>
                  </w:tcBorders>
                  <w:shd w:val="clear" w:color="auto" w:fill="auto"/>
                  <w:noWrap/>
                  <w:vAlign w:val="center"/>
                </w:tcPr>
                <w:p w14:paraId="12BF37C3" w14:textId="77777777" w:rsidR="00900FFE" w:rsidRPr="00DA48A2" w:rsidRDefault="00900FFE" w:rsidP="00900FFE">
                  <w:pPr>
                    <w:spacing w:after="0" w:line="240" w:lineRule="auto"/>
                    <w:jc w:val="right"/>
                    <w:rPr>
                      <w:rFonts w:asciiTheme="minorHAnsi" w:eastAsia="Times New Roman" w:hAnsiTheme="minorHAnsi" w:cstheme="minorHAnsi"/>
                      <w:color w:val="000000"/>
                      <w:sz w:val="20"/>
                      <w:szCs w:val="20"/>
                      <w:lang w:eastAsia="en-US"/>
                    </w:rPr>
                  </w:pPr>
                  <w:r>
                    <w:rPr>
                      <w:rFonts w:asciiTheme="minorHAnsi" w:eastAsia="Times New Roman" w:hAnsiTheme="minorHAnsi" w:cstheme="minorHAnsi"/>
                      <w:color w:val="000000"/>
                      <w:sz w:val="20"/>
                      <w:szCs w:val="20"/>
                      <w:lang w:eastAsia="en-US"/>
                    </w:rPr>
                    <w:t>200</w:t>
                  </w:r>
                </w:p>
              </w:tc>
              <w:tc>
                <w:tcPr>
                  <w:tcW w:w="1080" w:type="dxa"/>
                  <w:tcBorders>
                    <w:top w:val="nil"/>
                    <w:left w:val="nil"/>
                    <w:bottom w:val="single" w:sz="8" w:space="0" w:color="auto"/>
                    <w:right w:val="single" w:sz="8" w:space="0" w:color="auto"/>
                  </w:tcBorders>
                  <w:shd w:val="clear" w:color="000000" w:fill="FFFFFF"/>
                  <w:noWrap/>
                  <w:vAlign w:val="center"/>
                  <w:hideMark/>
                </w:tcPr>
                <w:p w14:paraId="4CCADDCD" w14:textId="77777777" w:rsidR="00900FFE" w:rsidRPr="00A6713B" w:rsidRDefault="00900FFE" w:rsidP="00900FFE">
                  <w:pPr>
                    <w:spacing w:after="0" w:line="240" w:lineRule="auto"/>
                    <w:jc w:val="right"/>
                    <w:rPr>
                      <w:rFonts w:asciiTheme="minorHAnsi" w:eastAsia="Times New Roman" w:hAnsiTheme="minorHAnsi" w:cstheme="minorHAnsi"/>
                      <w:color w:val="000000"/>
                      <w:sz w:val="20"/>
                      <w:szCs w:val="20"/>
                      <w:lang w:eastAsia="en-US"/>
                    </w:rPr>
                  </w:pPr>
                  <w:r w:rsidRPr="00A6713B">
                    <w:rPr>
                      <w:rFonts w:asciiTheme="minorHAnsi" w:eastAsia="Times New Roman" w:hAnsiTheme="minorHAnsi" w:cstheme="minorHAnsi"/>
                      <w:color w:val="000000"/>
                      <w:sz w:val="20"/>
                      <w:szCs w:val="20"/>
                      <w:lang w:eastAsia="en-US"/>
                    </w:rPr>
                    <w:t>2500</w:t>
                  </w:r>
                </w:p>
              </w:tc>
              <w:tc>
                <w:tcPr>
                  <w:tcW w:w="1080" w:type="dxa"/>
                  <w:tcBorders>
                    <w:top w:val="nil"/>
                    <w:left w:val="nil"/>
                    <w:bottom w:val="single" w:sz="8" w:space="0" w:color="auto"/>
                    <w:right w:val="single" w:sz="8" w:space="0" w:color="auto"/>
                  </w:tcBorders>
                  <w:shd w:val="clear" w:color="auto" w:fill="auto"/>
                  <w:noWrap/>
                  <w:vAlign w:val="center"/>
                  <w:hideMark/>
                </w:tcPr>
                <w:p w14:paraId="1DABD086" w14:textId="77777777" w:rsidR="00900FFE" w:rsidRPr="00DA48A2" w:rsidRDefault="00900FFE" w:rsidP="00900FFE">
                  <w:pPr>
                    <w:spacing w:after="0" w:line="240" w:lineRule="auto"/>
                    <w:jc w:val="right"/>
                    <w:rPr>
                      <w:rFonts w:asciiTheme="minorHAnsi" w:eastAsia="Times New Roman" w:hAnsiTheme="minorHAnsi" w:cstheme="minorHAnsi"/>
                      <w:color w:val="000000"/>
                      <w:sz w:val="20"/>
                      <w:szCs w:val="20"/>
                      <w:lang w:eastAsia="en-US"/>
                    </w:rPr>
                  </w:pPr>
                  <w:r w:rsidRPr="00DA48A2">
                    <w:rPr>
                      <w:rFonts w:asciiTheme="minorHAnsi" w:eastAsia="Times New Roman" w:hAnsiTheme="minorHAnsi" w:cstheme="minorHAnsi"/>
                      <w:color w:val="000000"/>
                      <w:sz w:val="20"/>
                      <w:szCs w:val="20"/>
                      <w:lang w:eastAsia="en-US"/>
                    </w:rPr>
                    <w:t>1</w:t>
                  </w:r>
                </w:p>
              </w:tc>
              <w:tc>
                <w:tcPr>
                  <w:tcW w:w="1080" w:type="dxa"/>
                  <w:tcBorders>
                    <w:top w:val="nil"/>
                    <w:left w:val="nil"/>
                    <w:bottom w:val="single" w:sz="8" w:space="0" w:color="auto"/>
                    <w:right w:val="single" w:sz="8" w:space="0" w:color="auto"/>
                  </w:tcBorders>
                </w:tcPr>
                <w:p w14:paraId="636B705B" w14:textId="77777777" w:rsidR="00900FFE" w:rsidRPr="00DA48A2" w:rsidRDefault="00900FFE" w:rsidP="00900FFE">
                  <w:pPr>
                    <w:jc w:val="right"/>
                    <w:rPr>
                      <w:rFonts w:asciiTheme="minorHAnsi" w:eastAsia="Times New Roman" w:hAnsiTheme="minorHAnsi" w:cstheme="minorHAnsi"/>
                      <w:color w:val="000000"/>
                      <w:sz w:val="20"/>
                      <w:szCs w:val="20"/>
                      <w:lang w:eastAsia="en-US"/>
                    </w:rPr>
                  </w:pPr>
                  <w:r>
                    <w:rPr>
                      <w:color w:val="000000"/>
                    </w:rPr>
                    <w:t>500000</w:t>
                  </w:r>
                </w:p>
              </w:tc>
            </w:tr>
          </w:tbl>
          <w:p w14:paraId="5592EB72" w14:textId="77777777" w:rsidR="006C1B64" w:rsidRDefault="006C1B64" w:rsidP="00DB0421">
            <w:pPr>
              <w:spacing w:after="0" w:line="240" w:lineRule="auto"/>
              <w:rPr>
                <w:rFonts w:asciiTheme="minorHAnsi" w:hAnsiTheme="minorHAnsi"/>
                <w:color w:val="C00000"/>
                <w:sz w:val="21"/>
                <w:szCs w:val="21"/>
                <w:u w:val="single"/>
              </w:rPr>
            </w:pPr>
          </w:p>
          <w:p w14:paraId="0000001E" w14:textId="3791205A" w:rsidR="00AA1640" w:rsidRPr="00486526" w:rsidRDefault="002C0000" w:rsidP="00DB0421">
            <w:pPr>
              <w:spacing w:after="0" w:line="240" w:lineRule="auto"/>
              <w:rPr>
                <w:rFonts w:asciiTheme="minorHAnsi" w:eastAsia="Arial" w:hAnsiTheme="minorHAnsi" w:cs="Arial"/>
                <w:sz w:val="21"/>
                <w:szCs w:val="21"/>
              </w:rPr>
            </w:pPr>
            <w:r w:rsidRPr="00486526">
              <w:rPr>
                <w:rFonts w:asciiTheme="minorHAnsi" w:hAnsiTheme="minorHAnsi"/>
                <w:sz w:val="21"/>
                <w:szCs w:val="21"/>
                <w:u w:val="single"/>
              </w:rPr>
              <w:t>Principale(s) langue(s) parlée(s) :</w:t>
            </w:r>
            <w:r w:rsidRPr="00486526">
              <w:rPr>
                <w:rFonts w:asciiTheme="minorHAnsi" w:hAnsiTheme="minorHAnsi"/>
                <w:sz w:val="21"/>
                <w:szCs w:val="21"/>
              </w:rPr>
              <w:t xml:space="preserve"> </w:t>
            </w:r>
            <w:r w:rsidR="00ED1BE4" w:rsidRPr="00486526">
              <w:rPr>
                <w:rFonts w:asciiTheme="minorHAnsi" w:hAnsiTheme="minorHAnsi"/>
                <w:sz w:val="21"/>
                <w:szCs w:val="21"/>
              </w:rPr>
              <w:t xml:space="preserve">Français, </w:t>
            </w:r>
            <w:r w:rsidR="002B1954" w:rsidRPr="00486526">
              <w:rPr>
                <w:rFonts w:asciiTheme="minorHAnsi" w:hAnsiTheme="minorHAnsi"/>
                <w:sz w:val="21"/>
                <w:szCs w:val="21"/>
              </w:rPr>
              <w:t>Arabe, Bambara, Tamashek,</w:t>
            </w:r>
          </w:p>
          <w:p w14:paraId="0000001F" w14:textId="41B5F9F7" w:rsidR="00AA1640" w:rsidRPr="002C4B58" w:rsidRDefault="00AA1640" w:rsidP="00DB0421">
            <w:pPr>
              <w:spacing w:after="0" w:line="240" w:lineRule="auto"/>
              <w:rPr>
                <w:rFonts w:asciiTheme="minorHAnsi" w:eastAsia="Arial" w:hAnsiTheme="minorHAnsi" w:cs="Arial"/>
                <w:color w:val="C00000"/>
                <w:sz w:val="21"/>
                <w:szCs w:val="21"/>
              </w:rPr>
            </w:pPr>
          </w:p>
        </w:tc>
      </w:tr>
      <w:tr w:rsidR="00AA1640" w:rsidRPr="002C4B58" w14:paraId="7E97D3D7" w14:textId="77777777" w:rsidTr="00900FFE">
        <w:tc>
          <w:tcPr>
            <w:tcW w:w="559"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tcPr>
          <w:p w14:paraId="00000020" w14:textId="77777777" w:rsidR="00AA1640" w:rsidRPr="002C4B58" w:rsidRDefault="002C0000">
            <w:pPr>
              <w:spacing w:after="0" w:line="240" w:lineRule="auto"/>
              <w:jc w:val="center"/>
              <w:rPr>
                <w:rFonts w:asciiTheme="minorHAnsi" w:eastAsia="Arial" w:hAnsiTheme="minorHAnsi" w:cs="Arial"/>
                <w:color w:val="C00000"/>
                <w:sz w:val="21"/>
                <w:szCs w:val="21"/>
              </w:rPr>
            </w:pPr>
            <w:r>
              <w:rPr>
                <w:rFonts w:asciiTheme="minorHAnsi" w:hAnsiTheme="minorHAnsi"/>
                <w:color w:val="C00000"/>
                <w:sz w:val="21"/>
                <w:szCs w:val="21"/>
              </w:rPr>
              <w:t>2</w:t>
            </w:r>
          </w:p>
        </w:tc>
        <w:tc>
          <w:tcPr>
            <w:tcW w:w="9511" w:type="dxa"/>
            <w:tcBorders>
              <w:top w:val="single" w:sz="8" w:space="0" w:color="000000"/>
              <w:left w:val="nil"/>
              <w:bottom w:val="single" w:sz="4" w:space="0" w:color="000000"/>
              <w:right w:val="single" w:sz="8" w:space="0" w:color="000000"/>
            </w:tcBorders>
            <w:tcMar>
              <w:top w:w="0" w:type="dxa"/>
              <w:left w:w="108" w:type="dxa"/>
              <w:bottom w:w="0" w:type="dxa"/>
              <w:right w:w="108" w:type="dxa"/>
            </w:tcMar>
          </w:tcPr>
          <w:p w14:paraId="3A591D40" w14:textId="77777777" w:rsidR="00CB703D" w:rsidRDefault="00CB703D" w:rsidP="00DB0421">
            <w:pPr>
              <w:spacing w:after="0" w:line="240" w:lineRule="auto"/>
              <w:rPr>
                <w:rFonts w:asciiTheme="minorHAnsi" w:hAnsiTheme="minorHAnsi"/>
                <w:color w:val="C00000"/>
                <w:sz w:val="21"/>
                <w:szCs w:val="21"/>
                <w:u w:val="single"/>
              </w:rPr>
            </w:pPr>
          </w:p>
          <w:tbl>
            <w:tblPr>
              <w:tblW w:w="9270" w:type="dxa"/>
              <w:tblInd w:w="25" w:type="dxa"/>
              <w:tblLayout w:type="fixed"/>
              <w:tblLook w:val="04A0" w:firstRow="1" w:lastRow="0" w:firstColumn="1" w:lastColumn="0" w:noHBand="0" w:noVBand="1"/>
            </w:tblPr>
            <w:tblGrid>
              <w:gridCol w:w="3330"/>
              <w:gridCol w:w="1523"/>
              <w:gridCol w:w="900"/>
              <w:gridCol w:w="1080"/>
              <w:gridCol w:w="1170"/>
              <w:gridCol w:w="1267"/>
            </w:tblGrid>
            <w:tr w:rsidR="00486DE2" w:rsidRPr="00486DE2" w14:paraId="77EC422B" w14:textId="77777777" w:rsidTr="002A4F4E">
              <w:trPr>
                <w:trHeight w:val="1580"/>
              </w:trPr>
              <w:tc>
                <w:tcPr>
                  <w:tcW w:w="3330" w:type="dxa"/>
                  <w:tcBorders>
                    <w:top w:val="single" w:sz="8" w:space="0" w:color="auto"/>
                    <w:left w:val="single" w:sz="8" w:space="0" w:color="auto"/>
                    <w:bottom w:val="single" w:sz="8" w:space="0" w:color="000000"/>
                    <w:right w:val="single" w:sz="8" w:space="0" w:color="auto"/>
                  </w:tcBorders>
                  <w:shd w:val="clear" w:color="000000" w:fill="A5A5A5"/>
                  <w:vAlign w:val="center"/>
                  <w:hideMark/>
                </w:tcPr>
                <w:p w14:paraId="65B71793" w14:textId="44AB3B08" w:rsidR="00486DE2" w:rsidRPr="00DA48A2" w:rsidRDefault="00486DE2" w:rsidP="00486DE2">
                  <w:pPr>
                    <w:spacing w:after="0" w:line="240" w:lineRule="auto"/>
                    <w:rPr>
                      <w:rFonts w:ascii="Cambria" w:eastAsia="Times New Roman" w:hAnsi="Cambria"/>
                      <w:b/>
                      <w:bCs/>
                      <w:color w:val="FFFFFF"/>
                      <w:lang w:eastAsia="en-US"/>
                    </w:rPr>
                  </w:pPr>
                  <w:r>
                    <w:rPr>
                      <w:rFonts w:ascii="Cambria" w:eastAsia="Times New Roman" w:hAnsi="Cambria"/>
                      <w:b/>
                      <w:bCs/>
                      <w:color w:val="FFFFFF"/>
                      <w:lang w:eastAsia="en-US"/>
                    </w:rPr>
                    <w:t>Cas de Syriens et en milieu urbain</w:t>
                  </w:r>
                </w:p>
              </w:tc>
              <w:tc>
                <w:tcPr>
                  <w:tcW w:w="1523" w:type="dxa"/>
                  <w:tcBorders>
                    <w:top w:val="single" w:sz="8" w:space="0" w:color="auto"/>
                    <w:left w:val="single" w:sz="8" w:space="0" w:color="auto"/>
                    <w:bottom w:val="single" w:sz="8" w:space="0" w:color="000000"/>
                    <w:right w:val="single" w:sz="8" w:space="0" w:color="auto"/>
                  </w:tcBorders>
                  <w:shd w:val="clear" w:color="000000" w:fill="A5A5A5"/>
                  <w:vAlign w:val="center"/>
                  <w:hideMark/>
                </w:tcPr>
                <w:p w14:paraId="3C1042D6" w14:textId="379F6D15" w:rsidR="00486DE2" w:rsidRPr="00DA48A2" w:rsidRDefault="00486DE2" w:rsidP="00486DE2">
                  <w:pPr>
                    <w:spacing w:after="0" w:line="240" w:lineRule="auto"/>
                    <w:rPr>
                      <w:rFonts w:ascii="Cambria" w:eastAsia="Times New Roman" w:hAnsi="Cambria"/>
                      <w:b/>
                      <w:bCs/>
                      <w:color w:val="FFFFFF"/>
                      <w:lang w:eastAsia="en-US"/>
                    </w:rPr>
                  </w:pPr>
                  <w:r w:rsidRPr="00DA48A2">
                    <w:rPr>
                      <w:rFonts w:ascii="Cambria" w:eastAsia="Times New Roman" w:hAnsi="Cambria"/>
                      <w:b/>
                      <w:bCs/>
                      <w:color w:val="FFFFFF"/>
                      <w:lang w:eastAsia="en-US"/>
                    </w:rPr>
                    <w:t>R</w:t>
                  </w:r>
                  <w:r>
                    <w:rPr>
                      <w:rFonts w:ascii="Cambria" w:eastAsia="Times New Roman" w:hAnsi="Cambria"/>
                      <w:b/>
                      <w:bCs/>
                      <w:color w:val="FFFFFF"/>
                      <w:lang w:eastAsia="en-US"/>
                    </w:rPr>
                    <w:t>é</w:t>
                  </w:r>
                  <w:r w:rsidRPr="00DA48A2">
                    <w:rPr>
                      <w:rFonts w:ascii="Cambria" w:eastAsia="Times New Roman" w:hAnsi="Cambria"/>
                      <w:b/>
                      <w:bCs/>
                      <w:color w:val="FFFFFF"/>
                      <w:lang w:eastAsia="en-US"/>
                    </w:rPr>
                    <w:t>gion / Province</w:t>
                  </w:r>
                </w:p>
              </w:tc>
              <w:tc>
                <w:tcPr>
                  <w:tcW w:w="900" w:type="dxa"/>
                  <w:tcBorders>
                    <w:top w:val="single" w:sz="8" w:space="0" w:color="auto"/>
                    <w:left w:val="single" w:sz="8" w:space="0" w:color="auto"/>
                    <w:bottom w:val="single" w:sz="8" w:space="0" w:color="000000"/>
                    <w:right w:val="single" w:sz="8" w:space="0" w:color="auto"/>
                  </w:tcBorders>
                  <w:shd w:val="clear" w:color="000000" w:fill="A5A5A5"/>
                  <w:vAlign w:val="center"/>
                  <w:hideMark/>
                </w:tcPr>
                <w:p w14:paraId="56E0DCD0" w14:textId="048E96FD" w:rsidR="00486DE2" w:rsidRPr="00DA48A2" w:rsidRDefault="00486DE2" w:rsidP="00486DE2">
                  <w:pPr>
                    <w:spacing w:after="0" w:line="240" w:lineRule="auto"/>
                    <w:rPr>
                      <w:rFonts w:ascii="Cambria" w:eastAsia="Times New Roman" w:hAnsi="Cambria"/>
                      <w:b/>
                      <w:bCs/>
                      <w:color w:val="FFFFFF"/>
                      <w:lang w:eastAsia="en-US"/>
                    </w:rPr>
                  </w:pPr>
                  <w:r w:rsidRPr="00A60147">
                    <w:rPr>
                      <w:rFonts w:asciiTheme="minorHAnsi" w:eastAsia="Times New Roman" w:hAnsiTheme="minorHAnsi" w:cstheme="minorHAnsi"/>
                      <w:b/>
                      <w:bCs/>
                      <w:color w:val="FFFFFF"/>
                      <w:sz w:val="20"/>
                      <w:szCs w:val="20"/>
                      <w:lang w:eastAsia="en-US"/>
                    </w:rPr>
                    <w:t>Nombre d'individus</w:t>
                  </w:r>
                </w:p>
              </w:tc>
              <w:tc>
                <w:tcPr>
                  <w:tcW w:w="1080" w:type="dxa"/>
                  <w:tcBorders>
                    <w:top w:val="single" w:sz="8" w:space="0" w:color="auto"/>
                    <w:left w:val="single" w:sz="8" w:space="0" w:color="auto"/>
                    <w:bottom w:val="single" w:sz="8" w:space="0" w:color="000000"/>
                    <w:right w:val="single" w:sz="8" w:space="0" w:color="auto"/>
                  </w:tcBorders>
                  <w:shd w:val="clear" w:color="000000" w:fill="A5A5A5"/>
                  <w:vAlign w:val="center"/>
                  <w:hideMark/>
                </w:tcPr>
                <w:p w14:paraId="0B8405EF" w14:textId="406D8E6F" w:rsidR="00486DE2" w:rsidRPr="00DA48A2" w:rsidRDefault="00486DE2" w:rsidP="00486DE2">
                  <w:pPr>
                    <w:spacing w:after="0" w:line="240" w:lineRule="auto"/>
                    <w:jc w:val="center"/>
                    <w:rPr>
                      <w:rFonts w:ascii="Cambria" w:eastAsia="Times New Roman" w:hAnsi="Cambria"/>
                      <w:b/>
                      <w:bCs/>
                      <w:color w:val="FFFFFF"/>
                      <w:lang w:eastAsia="en-US"/>
                    </w:rPr>
                  </w:pPr>
                  <w:r>
                    <w:rPr>
                      <w:rFonts w:asciiTheme="minorHAnsi" w:eastAsia="Times New Roman" w:hAnsiTheme="minorHAnsi" w:cstheme="minorHAnsi"/>
                      <w:b/>
                      <w:bCs/>
                      <w:color w:val="FFFFFF"/>
                      <w:sz w:val="20"/>
                      <w:szCs w:val="20"/>
                      <w:lang w:eastAsia="en-US"/>
                    </w:rPr>
                    <w:t>Valeur de transfert en USD</w:t>
                  </w:r>
                </w:p>
              </w:tc>
              <w:tc>
                <w:tcPr>
                  <w:tcW w:w="1170" w:type="dxa"/>
                  <w:tcBorders>
                    <w:top w:val="single" w:sz="8" w:space="0" w:color="auto"/>
                    <w:left w:val="single" w:sz="8" w:space="0" w:color="auto"/>
                    <w:bottom w:val="single" w:sz="8" w:space="0" w:color="000000"/>
                    <w:right w:val="single" w:sz="8" w:space="0" w:color="auto"/>
                  </w:tcBorders>
                  <w:shd w:val="clear" w:color="000000" w:fill="A5A5A5"/>
                  <w:vAlign w:val="center"/>
                  <w:hideMark/>
                </w:tcPr>
                <w:p w14:paraId="62E46AA7" w14:textId="3DA736F7" w:rsidR="00486DE2" w:rsidRPr="00DA48A2" w:rsidRDefault="00486DE2" w:rsidP="00486DE2">
                  <w:pPr>
                    <w:spacing w:after="0" w:line="240" w:lineRule="auto"/>
                    <w:rPr>
                      <w:rFonts w:ascii="Cambria" w:eastAsia="Times New Roman" w:hAnsi="Cambria"/>
                      <w:b/>
                      <w:bCs/>
                      <w:color w:val="FFFFFF"/>
                      <w:lang w:eastAsia="en-US"/>
                    </w:rPr>
                  </w:pPr>
                  <w:r w:rsidRPr="000B377E">
                    <w:rPr>
                      <w:rFonts w:asciiTheme="minorHAnsi" w:eastAsia="Times New Roman" w:hAnsiTheme="minorHAnsi" w:cstheme="minorHAnsi"/>
                      <w:b/>
                      <w:bCs/>
                      <w:color w:val="FFFFFF"/>
                      <w:sz w:val="20"/>
                      <w:szCs w:val="20"/>
                      <w:lang w:eastAsia="en-US"/>
                    </w:rPr>
                    <w:t>Nombre de transferts par an</w:t>
                  </w:r>
                </w:p>
              </w:tc>
              <w:tc>
                <w:tcPr>
                  <w:tcW w:w="1267" w:type="dxa"/>
                  <w:tcBorders>
                    <w:top w:val="single" w:sz="8" w:space="0" w:color="auto"/>
                    <w:left w:val="single" w:sz="8" w:space="0" w:color="auto"/>
                    <w:right w:val="single" w:sz="8" w:space="0" w:color="auto"/>
                  </w:tcBorders>
                  <w:shd w:val="clear" w:color="000000" w:fill="A5A5A5"/>
                </w:tcPr>
                <w:p w14:paraId="6FDC77C9" w14:textId="09FB8D48" w:rsidR="00486DE2" w:rsidRPr="00486DE2" w:rsidRDefault="00486DE2" w:rsidP="00486DE2">
                  <w:pPr>
                    <w:spacing w:after="0" w:line="240" w:lineRule="auto"/>
                    <w:rPr>
                      <w:rFonts w:ascii="Cambria" w:eastAsia="Times New Roman" w:hAnsi="Cambria"/>
                      <w:b/>
                      <w:bCs/>
                      <w:color w:val="FFFFFF"/>
                      <w:lang w:eastAsia="en-US"/>
                    </w:rPr>
                  </w:pPr>
                  <w:r w:rsidRPr="000B377E">
                    <w:rPr>
                      <w:rFonts w:asciiTheme="minorHAnsi" w:eastAsia="Times New Roman" w:hAnsiTheme="minorHAnsi" w:cstheme="minorHAnsi"/>
                      <w:b/>
                      <w:bCs/>
                      <w:color w:val="FFFFFF"/>
                      <w:sz w:val="20"/>
                      <w:szCs w:val="20"/>
                      <w:lang w:eastAsia="en-US"/>
                    </w:rPr>
                    <w:t>Montant total indicatif par an</w:t>
                  </w:r>
                  <w:r>
                    <w:rPr>
                      <w:rFonts w:asciiTheme="minorHAnsi" w:eastAsia="Times New Roman" w:hAnsiTheme="minorHAnsi" w:cstheme="minorHAnsi"/>
                      <w:b/>
                      <w:bCs/>
                      <w:color w:val="FFFFFF"/>
                      <w:sz w:val="20"/>
                      <w:szCs w:val="20"/>
                      <w:lang w:eastAsia="en-US"/>
                    </w:rPr>
                    <w:t xml:space="preserve"> en USD</w:t>
                  </w:r>
                </w:p>
              </w:tc>
            </w:tr>
            <w:tr w:rsidR="0027224D" w:rsidRPr="00DA48A2" w14:paraId="354C4341" w14:textId="77777777" w:rsidTr="0027224D">
              <w:trPr>
                <w:trHeight w:val="730"/>
              </w:trPr>
              <w:tc>
                <w:tcPr>
                  <w:tcW w:w="3330" w:type="dxa"/>
                  <w:tcBorders>
                    <w:top w:val="nil"/>
                    <w:left w:val="single" w:sz="8" w:space="0" w:color="auto"/>
                    <w:bottom w:val="single" w:sz="8" w:space="0" w:color="auto"/>
                    <w:right w:val="single" w:sz="8" w:space="0" w:color="auto"/>
                  </w:tcBorders>
                  <w:shd w:val="clear" w:color="auto" w:fill="auto"/>
                  <w:vAlign w:val="center"/>
                  <w:hideMark/>
                </w:tcPr>
                <w:p w14:paraId="1111CB5C" w14:textId="061624E5" w:rsidR="0027224D" w:rsidRPr="00DA48A2" w:rsidRDefault="00F13BEF" w:rsidP="0027224D">
                  <w:pPr>
                    <w:spacing w:after="0" w:line="240" w:lineRule="auto"/>
                    <w:rPr>
                      <w:rFonts w:eastAsia="Times New Roman"/>
                      <w:color w:val="000000"/>
                      <w:sz w:val="20"/>
                      <w:szCs w:val="20"/>
                      <w:lang w:eastAsia="en-US"/>
                    </w:rPr>
                  </w:pPr>
                  <w:r>
                    <w:rPr>
                      <w:rFonts w:eastAsia="Times New Roman"/>
                      <w:color w:val="000000"/>
                      <w:sz w:val="20"/>
                      <w:szCs w:val="20"/>
                      <w:lang w:eastAsia="en-US"/>
                    </w:rPr>
                    <w:t>Assistance pour l’éducation</w:t>
                  </w:r>
                </w:p>
              </w:tc>
              <w:tc>
                <w:tcPr>
                  <w:tcW w:w="1523" w:type="dxa"/>
                  <w:tcBorders>
                    <w:top w:val="nil"/>
                    <w:left w:val="nil"/>
                    <w:bottom w:val="single" w:sz="8" w:space="0" w:color="auto"/>
                    <w:right w:val="single" w:sz="8" w:space="0" w:color="auto"/>
                  </w:tcBorders>
                  <w:shd w:val="clear" w:color="auto" w:fill="auto"/>
                  <w:noWrap/>
                  <w:vAlign w:val="center"/>
                  <w:hideMark/>
                </w:tcPr>
                <w:p w14:paraId="72B33CA5" w14:textId="77777777" w:rsidR="0027224D" w:rsidRPr="00DA48A2" w:rsidRDefault="0027224D" w:rsidP="0027224D">
                  <w:pPr>
                    <w:spacing w:after="0" w:line="240" w:lineRule="auto"/>
                    <w:rPr>
                      <w:rFonts w:eastAsia="Times New Roman"/>
                      <w:color w:val="000000"/>
                      <w:sz w:val="20"/>
                      <w:szCs w:val="20"/>
                      <w:lang w:eastAsia="en-US"/>
                    </w:rPr>
                  </w:pPr>
                  <w:r w:rsidRPr="00DA48A2">
                    <w:rPr>
                      <w:rFonts w:eastAsia="Times New Roman"/>
                      <w:color w:val="000000"/>
                      <w:sz w:val="20"/>
                      <w:szCs w:val="20"/>
                      <w:lang w:eastAsia="en-US"/>
                    </w:rPr>
                    <w:t>Nouakchott, Nouad</w:t>
                  </w:r>
                  <w:r>
                    <w:rPr>
                      <w:rFonts w:eastAsia="Times New Roman"/>
                      <w:color w:val="000000"/>
                      <w:sz w:val="20"/>
                      <w:szCs w:val="20"/>
                      <w:lang w:eastAsia="en-US"/>
                    </w:rPr>
                    <w:t>h</w:t>
                  </w:r>
                  <w:r w:rsidRPr="00DA48A2">
                    <w:rPr>
                      <w:rFonts w:eastAsia="Times New Roman"/>
                      <w:color w:val="000000"/>
                      <w:sz w:val="20"/>
                      <w:szCs w:val="20"/>
                      <w:lang w:eastAsia="en-US"/>
                    </w:rPr>
                    <w:t>ib</w:t>
                  </w:r>
                  <w:r>
                    <w:rPr>
                      <w:rFonts w:eastAsia="Times New Roman"/>
                      <w:color w:val="000000"/>
                      <w:sz w:val="20"/>
                      <w:szCs w:val="20"/>
                      <w:lang w:eastAsia="en-US"/>
                    </w:rPr>
                    <w:t>o</w:t>
                  </w:r>
                  <w:r w:rsidRPr="00DA48A2">
                    <w:rPr>
                      <w:rFonts w:eastAsia="Times New Roman"/>
                      <w:color w:val="000000"/>
                      <w:sz w:val="20"/>
                      <w:szCs w:val="20"/>
                      <w:lang w:eastAsia="en-US"/>
                    </w:rPr>
                    <w:t>u</w:t>
                  </w:r>
                </w:p>
              </w:tc>
              <w:tc>
                <w:tcPr>
                  <w:tcW w:w="900" w:type="dxa"/>
                  <w:tcBorders>
                    <w:top w:val="nil"/>
                    <w:left w:val="nil"/>
                    <w:bottom w:val="single" w:sz="8" w:space="0" w:color="auto"/>
                    <w:right w:val="single" w:sz="8" w:space="0" w:color="auto"/>
                  </w:tcBorders>
                  <w:shd w:val="clear" w:color="auto" w:fill="auto"/>
                  <w:noWrap/>
                  <w:vAlign w:val="center"/>
                  <w:hideMark/>
                </w:tcPr>
                <w:p w14:paraId="612A76EE" w14:textId="77777777" w:rsidR="0027224D" w:rsidRPr="00DA48A2" w:rsidRDefault="0027224D" w:rsidP="0027224D">
                  <w:pPr>
                    <w:spacing w:after="0" w:line="240" w:lineRule="auto"/>
                    <w:jc w:val="right"/>
                    <w:rPr>
                      <w:rFonts w:eastAsia="Times New Roman"/>
                      <w:color w:val="000000"/>
                      <w:sz w:val="20"/>
                      <w:szCs w:val="20"/>
                      <w:lang w:eastAsia="en-US"/>
                    </w:rPr>
                  </w:pPr>
                  <w:r>
                    <w:rPr>
                      <w:rFonts w:eastAsia="Times New Roman"/>
                      <w:color w:val="000000"/>
                      <w:sz w:val="20"/>
                      <w:szCs w:val="20"/>
                      <w:lang w:eastAsia="en-US"/>
                    </w:rPr>
                    <w:t>300</w:t>
                  </w:r>
                </w:p>
              </w:tc>
              <w:tc>
                <w:tcPr>
                  <w:tcW w:w="1080" w:type="dxa"/>
                  <w:tcBorders>
                    <w:top w:val="nil"/>
                    <w:left w:val="nil"/>
                    <w:bottom w:val="single" w:sz="8" w:space="0" w:color="auto"/>
                    <w:right w:val="single" w:sz="8" w:space="0" w:color="auto"/>
                  </w:tcBorders>
                  <w:shd w:val="clear" w:color="auto" w:fill="auto"/>
                  <w:noWrap/>
                  <w:vAlign w:val="center"/>
                  <w:hideMark/>
                </w:tcPr>
                <w:p w14:paraId="3521855E" w14:textId="77777777" w:rsidR="0027224D" w:rsidRPr="00DA48A2" w:rsidRDefault="0027224D" w:rsidP="0027224D">
                  <w:pPr>
                    <w:spacing w:after="0" w:line="240" w:lineRule="auto"/>
                    <w:jc w:val="right"/>
                    <w:rPr>
                      <w:rFonts w:eastAsia="Times New Roman"/>
                      <w:color w:val="000000"/>
                      <w:sz w:val="20"/>
                      <w:szCs w:val="20"/>
                      <w:lang w:eastAsia="en-US"/>
                    </w:rPr>
                  </w:pPr>
                  <w:r>
                    <w:rPr>
                      <w:rFonts w:eastAsia="Times New Roman"/>
                      <w:color w:val="000000"/>
                      <w:sz w:val="20"/>
                      <w:szCs w:val="20"/>
                      <w:lang w:eastAsia="en-US"/>
                    </w:rPr>
                    <w:t>120</w:t>
                  </w:r>
                </w:p>
              </w:tc>
              <w:tc>
                <w:tcPr>
                  <w:tcW w:w="1170" w:type="dxa"/>
                  <w:tcBorders>
                    <w:top w:val="nil"/>
                    <w:left w:val="nil"/>
                    <w:bottom w:val="single" w:sz="8" w:space="0" w:color="auto"/>
                    <w:right w:val="single" w:sz="8" w:space="0" w:color="auto"/>
                  </w:tcBorders>
                  <w:shd w:val="clear" w:color="auto" w:fill="auto"/>
                  <w:noWrap/>
                  <w:vAlign w:val="center"/>
                  <w:hideMark/>
                </w:tcPr>
                <w:p w14:paraId="6206391E" w14:textId="77777777" w:rsidR="0027224D" w:rsidRPr="00DA48A2" w:rsidRDefault="0027224D" w:rsidP="0027224D">
                  <w:pPr>
                    <w:spacing w:after="0" w:line="240" w:lineRule="auto"/>
                    <w:jc w:val="right"/>
                    <w:rPr>
                      <w:rFonts w:eastAsia="Times New Roman"/>
                      <w:color w:val="000000"/>
                      <w:sz w:val="20"/>
                      <w:szCs w:val="20"/>
                      <w:lang w:eastAsia="en-US"/>
                    </w:rPr>
                  </w:pPr>
                  <w:r>
                    <w:rPr>
                      <w:rFonts w:eastAsia="Times New Roman"/>
                      <w:color w:val="000000"/>
                      <w:sz w:val="20"/>
                      <w:szCs w:val="20"/>
                      <w:lang w:eastAsia="en-US"/>
                    </w:rPr>
                    <w:t>3</w:t>
                  </w:r>
                </w:p>
              </w:tc>
              <w:tc>
                <w:tcPr>
                  <w:tcW w:w="1267" w:type="dxa"/>
                  <w:tcBorders>
                    <w:top w:val="nil"/>
                    <w:left w:val="nil"/>
                    <w:bottom w:val="single" w:sz="8" w:space="0" w:color="auto"/>
                    <w:right w:val="single" w:sz="8" w:space="0" w:color="auto"/>
                  </w:tcBorders>
                </w:tcPr>
                <w:p w14:paraId="23CA292A" w14:textId="77777777" w:rsidR="0027224D" w:rsidRDefault="0027224D" w:rsidP="0027224D">
                  <w:pPr>
                    <w:spacing w:after="0" w:line="240" w:lineRule="auto"/>
                    <w:rPr>
                      <w:rFonts w:eastAsia="Times New Roman"/>
                      <w:color w:val="000000"/>
                      <w:sz w:val="20"/>
                      <w:szCs w:val="20"/>
                      <w:lang w:eastAsia="en-US"/>
                    </w:rPr>
                  </w:pPr>
                </w:p>
                <w:p w14:paraId="1D99EE00" w14:textId="77777777" w:rsidR="0027224D" w:rsidRPr="003C0DE7" w:rsidRDefault="0027224D" w:rsidP="0027224D">
                  <w:pPr>
                    <w:rPr>
                      <w:rFonts w:eastAsia="Times New Roman"/>
                      <w:sz w:val="20"/>
                      <w:szCs w:val="20"/>
                      <w:lang w:eastAsia="en-US"/>
                    </w:rPr>
                  </w:pPr>
                  <w:r>
                    <w:rPr>
                      <w:rFonts w:eastAsia="Times New Roman"/>
                      <w:sz w:val="20"/>
                      <w:szCs w:val="20"/>
                      <w:lang w:eastAsia="en-US"/>
                    </w:rPr>
                    <w:t>108000</w:t>
                  </w:r>
                </w:p>
              </w:tc>
            </w:tr>
            <w:tr w:rsidR="0027224D" w:rsidRPr="00DA48A2" w14:paraId="242E949B" w14:textId="77777777" w:rsidTr="0027224D">
              <w:trPr>
                <w:trHeight w:val="764"/>
              </w:trPr>
              <w:tc>
                <w:tcPr>
                  <w:tcW w:w="3330" w:type="dxa"/>
                  <w:tcBorders>
                    <w:top w:val="nil"/>
                    <w:left w:val="single" w:sz="8" w:space="0" w:color="auto"/>
                    <w:bottom w:val="single" w:sz="8" w:space="0" w:color="auto"/>
                    <w:right w:val="single" w:sz="8" w:space="0" w:color="auto"/>
                  </w:tcBorders>
                  <w:shd w:val="clear" w:color="auto" w:fill="auto"/>
                  <w:vAlign w:val="center"/>
                  <w:hideMark/>
                </w:tcPr>
                <w:p w14:paraId="49BCD281" w14:textId="7BFAC07D" w:rsidR="0027224D" w:rsidRPr="00F13BEF" w:rsidRDefault="00F13BEF" w:rsidP="0027224D">
                  <w:pPr>
                    <w:spacing w:after="0" w:line="240" w:lineRule="auto"/>
                    <w:rPr>
                      <w:rFonts w:eastAsia="Times New Roman"/>
                      <w:color w:val="000000"/>
                      <w:sz w:val="20"/>
                      <w:szCs w:val="20"/>
                      <w:lang w:eastAsia="en-US"/>
                    </w:rPr>
                  </w:pPr>
                  <w:r w:rsidRPr="003D0AA9">
                    <w:rPr>
                      <w:rFonts w:asciiTheme="minorHAnsi" w:eastAsia="Times New Roman" w:hAnsiTheme="minorHAnsi" w:cstheme="minorHAnsi"/>
                      <w:color w:val="000000"/>
                      <w:sz w:val="20"/>
                      <w:szCs w:val="20"/>
                      <w:lang w:eastAsia="en-US"/>
                    </w:rPr>
                    <w:t xml:space="preserve">Assistance pour besoins de base </w:t>
                  </w:r>
                  <w:r>
                    <w:rPr>
                      <w:rFonts w:asciiTheme="minorHAnsi" w:eastAsia="Times New Roman" w:hAnsiTheme="minorHAnsi" w:cstheme="minorHAnsi"/>
                      <w:color w:val="000000"/>
                      <w:sz w:val="20"/>
                      <w:szCs w:val="20"/>
                      <w:lang w:eastAsia="en-US"/>
                    </w:rPr>
                    <w:t>à usage multiple « </w:t>
                  </w:r>
                  <w:r w:rsidRPr="003D0AA9">
                    <w:rPr>
                      <w:rFonts w:asciiTheme="minorHAnsi" w:eastAsia="Times New Roman" w:hAnsiTheme="minorHAnsi" w:cstheme="minorHAnsi"/>
                      <w:color w:val="000000"/>
                      <w:sz w:val="20"/>
                      <w:szCs w:val="20"/>
                      <w:lang w:eastAsia="en-US"/>
                    </w:rPr>
                    <w:t>PBS</w:t>
                  </w:r>
                  <w:r>
                    <w:rPr>
                      <w:rFonts w:asciiTheme="minorHAnsi" w:eastAsia="Times New Roman" w:hAnsiTheme="minorHAnsi" w:cstheme="minorHAnsi"/>
                      <w:color w:val="000000"/>
                      <w:sz w:val="20"/>
                      <w:szCs w:val="20"/>
                      <w:lang w:eastAsia="en-US"/>
                    </w:rPr>
                    <w:t> »</w:t>
                  </w:r>
                  <w:r w:rsidRPr="003D0AA9">
                    <w:rPr>
                      <w:rFonts w:asciiTheme="minorHAnsi" w:eastAsia="Times New Roman" w:hAnsiTheme="minorHAnsi" w:cstheme="minorHAnsi"/>
                      <w:color w:val="000000"/>
                      <w:sz w:val="20"/>
                      <w:szCs w:val="20"/>
                      <w:lang w:eastAsia="en-US"/>
                    </w:rPr>
                    <w:t xml:space="preserve"> (</w:t>
                  </w:r>
                  <w:r w:rsidRPr="00A14672">
                    <w:rPr>
                      <w:rFonts w:asciiTheme="minorHAnsi" w:eastAsia="Times New Roman" w:hAnsiTheme="minorHAnsi" w:cstheme="minorHAnsi"/>
                      <w:color w:val="000000"/>
                      <w:sz w:val="20"/>
                      <w:szCs w:val="20"/>
                      <w:lang w:eastAsia="en-US"/>
                    </w:rPr>
                    <w:t>extrêmement vulnérable</w:t>
                  </w:r>
                  <w:r w:rsidRPr="003D0AA9">
                    <w:rPr>
                      <w:rFonts w:asciiTheme="minorHAnsi" w:eastAsia="Times New Roman" w:hAnsiTheme="minorHAnsi" w:cstheme="minorHAnsi"/>
                      <w:color w:val="000000"/>
                      <w:sz w:val="20"/>
                      <w:szCs w:val="20"/>
                      <w:lang w:eastAsia="en-US"/>
                    </w:rPr>
                    <w:t>)</w:t>
                  </w:r>
                </w:p>
              </w:tc>
              <w:tc>
                <w:tcPr>
                  <w:tcW w:w="1523" w:type="dxa"/>
                  <w:tcBorders>
                    <w:top w:val="nil"/>
                    <w:left w:val="nil"/>
                    <w:bottom w:val="single" w:sz="8" w:space="0" w:color="auto"/>
                    <w:right w:val="single" w:sz="8" w:space="0" w:color="auto"/>
                  </w:tcBorders>
                  <w:shd w:val="clear" w:color="auto" w:fill="auto"/>
                  <w:noWrap/>
                  <w:vAlign w:val="center"/>
                  <w:hideMark/>
                </w:tcPr>
                <w:p w14:paraId="6BE47A0C" w14:textId="77777777" w:rsidR="0027224D" w:rsidRPr="00DA48A2" w:rsidRDefault="0027224D" w:rsidP="0027224D">
                  <w:pPr>
                    <w:spacing w:after="0" w:line="240" w:lineRule="auto"/>
                    <w:rPr>
                      <w:rFonts w:eastAsia="Times New Roman"/>
                      <w:color w:val="000000"/>
                      <w:sz w:val="20"/>
                      <w:szCs w:val="20"/>
                      <w:lang w:eastAsia="en-US"/>
                    </w:rPr>
                  </w:pPr>
                  <w:r w:rsidRPr="00DA48A2">
                    <w:rPr>
                      <w:rFonts w:eastAsia="Times New Roman"/>
                      <w:color w:val="000000"/>
                      <w:sz w:val="20"/>
                      <w:szCs w:val="20"/>
                      <w:lang w:eastAsia="en-US"/>
                    </w:rPr>
                    <w:t>Nouakchott, Nouad</w:t>
                  </w:r>
                  <w:r>
                    <w:rPr>
                      <w:rFonts w:eastAsia="Times New Roman"/>
                      <w:color w:val="000000"/>
                      <w:sz w:val="20"/>
                      <w:szCs w:val="20"/>
                      <w:lang w:eastAsia="en-US"/>
                    </w:rPr>
                    <w:t>h</w:t>
                  </w:r>
                  <w:r w:rsidRPr="00DA48A2">
                    <w:rPr>
                      <w:rFonts w:eastAsia="Times New Roman"/>
                      <w:color w:val="000000"/>
                      <w:sz w:val="20"/>
                      <w:szCs w:val="20"/>
                      <w:lang w:eastAsia="en-US"/>
                    </w:rPr>
                    <w:t>ib</w:t>
                  </w:r>
                  <w:r>
                    <w:rPr>
                      <w:rFonts w:eastAsia="Times New Roman"/>
                      <w:color w:val="000000"/>
                      <w:sz w:val="20"/>
                      <w:szCs w:val="20"/>
                      <w:lang w:eastAsia="en-US"/>
                    </w:rPr>
                    <w:t>o</w:t>
                  </w:r>
                  <w:r w:rsidRPr="00DA48A2">
                    <w:rPr>
                      <w:rFonts w:eastAsia="Times New Roman"/>
                      <w:color w:val="000000"/>
                      <w:sz w:val="20"/>
                      <w:szCs w:val="20"/>
                      <w:lang w:eastAsia="en-US"/>
                    </w:rPr>
                    <w:t>u</w:t>
                  </w:r>
                </w:p>
              </w:tc>
              <w:tc>
                <w:tcPr>
                  <w:tcW w:w="900" w:type="dxa"/>
                  <w:tcBorders>
                    <w:top w:val="nil"/>
                    <w:left w:val="nil"/>
                    <w:bottom w:val="single" w:sz="8" w:space="0" w:color="auto"/>
                    <w:right w:val="single" w:sz="8" w:space="0" w:color="auto"/>
                  </w:tcBorders>
                  <w:shd w:val="clear" w:color="auto" w:fill="auto"/>
                  <w:noWrap/>
                  <w:vAlign w:val="center"/>
                  <w:hideMark/>
                </w:tcPr>
                <w:p w14:paraId="372B20BC" w14:textId="77777777" w:rsidR="0027224D" w:rsidRPr="00DA48A2" w:rsidRDefault="0027224D" w:rsidP="0027224D">
                  <w:pPr>
                    <w:spacing w:after="0" w:line="240" w:lineRule="auto"/>
                    <w:jc w:val="right"/>
                    <w:rPr>
                      <w:rFonts w:eastAsia="Times New Roman"/>
                      <w:color w:val="000000"/>
                      <w:sz w:val="20"/>
                      <w:szCs w:val="20"/>
                      <w:lang w:eastAsia="en-US"/>
                    </w:rPr>
                  </w:pPr>
                  <w:r>
                    <w:rPr>
                      <w:rFonts w:eastAsia="Times New Roman"/>
                      <w:color w:val="000000"/>
                      <w:sz w:val="20"/>
                      <w:szCs w:val="20"/>
                      <w:lang w:eastAsia="en-US"/>
                    </w:rPr>
                    <w:t>200</w:t>
                  </w:r>
                </w:p>
              </w:tc>
              <w:tc>
                <w:tcPr>
                  <w:tcW w:w="1080" w:type="dxa"/>
                  <w:tcBorders>
                    <w:top w:val="nil"/>
                    <w:left w:val="nil"/>
                    <w:bottom w:val="single" w:sz="8" w:space="0" w:color="auto"/>
                    <w:right w:val="single" w:sz="8" w:space="0" w:color="auto"/>
                  </w:tcBorders>
                  <w:shd w:val="clear" w:color="auto" w:fill="auto"/>
                  <w:noWrap/>
                  <w:vAlign w:val="center"/>
                  <w:hideMark/>
                </w:tcPr>
                <w:p w14:paraId="0C93A83D" w14:textId="77777777" w:rsidR="0027224D" w:rsidRPr="00DA48A2" w:rsidRDefault="0027224D" w:rsidP="0027224D">
                  <w:pPr>
                    <w:spacing w:after="0" w:line="240" w:lineRule="auto"/>
                    <w:jc w:val="right"/>
                    <w:rPr>
                      <w:rFonts w:eastAsia="Times New Roman"/>
                      <w:color w:val="000000"/>
                      <w:sz w:val="20"/>
                      <w:szCs w:val="20"/>
                      <w:lang w:eastAsia="en-US"/>
                    </w:rPr>
                  </w:pPr>
                  <w:r>
                    <w:rPr>
                      <w:rFonts w:eastAsia="Times New Roman"/>
                      <w:color w:val="000000"/>
                      <w:sz w:val="20"/>
                      <w:szCs w:val="20"/>
                      <w:lang w:eastAsia="en-US"/>
                    </w:rPr>
                    <w:t>288</w:t>
                  </w:r>
                </w:p>
              </w:tc>
              <w:tc>
                <w:tcPr>
                  <w:tcW w:w="1170" w:type="dxa"/>
                  <w:tcBorders>
                    <w:top w:val="nil"/>
                    <w:left w:val="nil"/>
                    <w:bottom w:val="single" w:sz="8" w:space="0" w:color="auto"/>
                    <w:right w:val="single" w:sz="8" w:space="0" w:color="auto"/>
                  </w:tcBorders>
                  <w:shd w:val="clear" w:color="auto" w:fill="auto"/>
                  <w:noWrap/>
                  <w:vAlign w:val="center"/>
                  <w:hideMark/>
                </w:tcPr>
                <w:p w14:paraId="17A9DAC5" w14:textId="77777777" w:rsidR="0027224D" w:rsidRPr="00DA48A2" w:rsidRDefault="0027224D" w:rsidP="0027224D">
                  <w:pPr>
                    <w:spacing w:after="0" w:line="240" w:lineRule="auto"/>
                    <w:jc w:val="right"/>
                    <w:rPr>
                      <w:rFonts w:eastAsia="Times New Roman"/>
                      <w:color w:val="000000"/>
                      <w:sz w:val="20"/>
                      <w:szCs w:val="20"/>
                      <w:lang w:eastAsia="en-US"/>
                    </w:rPr>
                  </w:pPr>
                  <w:r>
                    <w:rPr>
                      <w:rFonts w:eastAsia="Times New Roman"/>
                      <w:color w:val="000000"/>
                      <w:sz w:val="20"/>
                      <w:szCs w:val="20"/>
                      <w:lang w:eastAsia="en-US"/>
                    </w:rPr>
                    <w:t>4</w:t>
                  </w:r>
                </w:p>
              </w:tc>
              <w:tc>
                <w:tcPr>
                  <w:tcW w:w="1267" w:type="dxa"/>
                  <w:tcBorders>
                    <w:top w:val="nil"/>
                    <w:left w:val="nil"/>
                    <w:bottom w:val="single" w:sz="8" w:space="0" w:color="auto"/>
                    <w:right w:val="single" w:sz="8" w:space="0" w:color="auto"/>
                  </w:tcBorders>
                </w:tcPr>
                <w:p w14:paraId="6A3A6A4A" w14:textId="77777777" w:rsidR="0027224D" w:rsidRDefault="0027224D" w:rsidP="0027224D">
                  <w:pPr>
                    <w:spacing w:after="0" w:line="240" w:lineRule="auto"/>
                    <w:rPr>
                      <w:rFonts w:eastAsia="Times New Roman"/>
                      <w:color w:val="000000"/>
                      <w:sz w:val="20"/>
                      <w:szCs w:val="20"/>
                      <w:lang w:eastAsia="en-US"/>
                    </w:rPr>
                  </w:pPr>
                </w:p>
                <w:p w14:paraId="5E0C97F6" w14:textId="77777777" w:rsidR="0027224D" w:rsidRPr="00856DFD" w:rsidRDefault="0027224D" w:rsidP="0027224D">
                  <w:pPr>
                    <w:rPr>
                      <w:rFonts w:eastAsia="Times New Roman"/>
                      <w:sz w:val="20"/>
                      <w:szCs w:val="20"/>
                      <w:lang w:eastAsia="en-US"/>
                    </w:rPr>
                  </w:pPr>
                  <w:r>
                    <w:rPr>
                      <w:rFonts w:eastAsia="Times New Roman"/>
                      <w:sz w:val="20"/>
                      <w:szCs w:val="20"/>
                      <w:lang w:eastAsia="en-US"/>
                    </w:rPr>
                    <w:t>230400</w:t>
                  </w:r>
                </w:p>
              </w:tc>
            </w:tr>
            <w:tr w:rsidR="0027224D" w:rsidRPr="00DA48A2" w14:paraId="2A56245F" w14:textId="77777777" w:rsidTr="0027224D">
              <w:trPr>
                <w:trHeight w:val="881"/>
              </w:trPr>
              <w:tc>
                <w:tcPr>
                  <w:tcW w:w="3330" w:type="dxa"/>
                  <w:tcBorders>
                    <w:top w:val="nil"/>
                    <w:left w:val="single" w:sz="8" w:space="0" w:color="auto"/>
                    <w:bottom w:val="single" w:sz="8" w:space="0" w:color="auto"/>
                    <w:right w:val="single" w:sz="8" w:space="0" w:color="auto"/>
                  </w:tcBorders>
                  <w:shd w:val="clear" w:color="auto" w:fill="auto"/>
                  <w:vAlign w:val="center"/>
                  <w:hideMark/>
                </w:tcPr>
                <w:p w14:paraId="2A07C8CA" w14:textId="584A6D3A" w:rsidR="0027224D" w:rsidRPr="00F13BEF" w:rsidRDefault="00F13BEF" w:rsidP="0027224D">
                  <w:pPr>
                    <w:spacing w:after="0" w:line="240" w:lineRule="auto"/>
                    <w:rPr>
                      <w:rFonts w:eastAsia="Times New Roman"/>
                      <w:color w:val="000000"/>
                      <w:sz w:val="20"/>
                      <w:szCs w:val="20"/>
                      <w:lang w:eastAsia="en-US"/>
                    </w:rPr>
                  </w:pPr>
                  <w:r w:rsidRPr="003D0AA9">
                    <w:rPr>
                      <w:rFonts w:asciiTheme="minorHAnsi" w:eastAsia="Times New Roman" w:hAnsiTheme="minorHAnsi" w:cstheme="minorHAnsi"/>
                      <w:color w:val="000000"/>
                      <w:sz w:val="20"/>
                      <w:szCs w:val="20"/>
                      <w:lang w:eastAsia="en-US"/>
                    </w:rPr>
                    <w:t xml:space="preserve">Assistance pour </w:t>
                  </w:r>
                  <w:r>
                    <w:rPr>
                      <w:rFonts w:asciiTheme="minorHAnsi" w:eastAsia="Times New Roman" w:hAnsiTheme="minorHAnsi" w:cstheme="minorHAnsi"/>
                      <w:color w:val="000000"/>
                      <w:sz w:val="20"/>
                      <w:szCs w:val="20"/>
                      <w:lang w:eastAsia="en-US"/>
                    </w:rPr>
                    <w:t>usage multiple (Bourses DAFI)</w:t>
                  </w:r>
                </w:p>
              </w:tc>
              <w:tc>
                <w:tcPr>
                  <w:tcW w:w="1523" w:type="dxa"/>
                  <w:tcBorders>
                    <w:top w:val="nil"/>
                    <w:left w:val="nil"/>
                    <w:bottom w:val="single" w:sz="8" w:space="0" w:color="auto"/>
                    <w:right w:val="single" w:sz="8" w:space="0" w:color="auto"/>
                  </w:tcBorders>
                  <w:shd w:val="clear" w:color="auto" w:fill="auto"/>
                  <w:noWrap/>
                  <w:vAlign w:val="center"/>
                  <w:hideMark/>
                </w:tcPr>
                <w:p w14:paraId="07AEB5FE" w14:textId="77777777" w:rsidR="0027224D" w:rsidRPr="00DA48A2" w:rsidRDefault="0027224D" w:rsidP="0027224D">
                  <w:pPr>
                    <w:spacing w:after="0" w:line="240" w:lineRule="auto"/>
                    <w:rPr>
                      <w:rFonts w:eastAsia="Times New Roman"/>
                      <w:color w:val="000000"/>
                      <w:sz w:val="20"/>
                      <w:szCs w:val="20"/>
                      <w:lang w:eastAsia="en-US"/>
                    </w:rPr>
                  </w:pPr>
                  <w:r w:rsidRPr="00DA48A2">
                    <w:rPr>
                      <w:rFonts w:eastAsia="Times New Roman"/>
                      <w:color w:val="000000"/>
                      <w:sz w:val="20"/>
                      <w:szCs w:val="20"/>
                      <w:lang w:eastAsia="en-US"/>
                    </w:rPr>
                    <w:t>Nouakchott, Nouad</w:t>
                  </w:r>
                  <w:r>
                    <w:rPr>
                      <w:rFonts w:eastAsia="Times New Roman"/>
                      <w:color w:val="000000"/>
                      <w:sz w:val="20"/>
                      <w:szCs w:val="20"/>
                      <w:lang w:eastAsia="en-US"/>
                    </w:rPr>
                    <w:t>h</w:t>
                  </w:r>
                  <w:r w:rsidRPr="00DA48A2">
                    <w:rPr>
                      <w:rFonts w:eastAsia="Times New Roman"/>
                      <w:color w:val="000000"/>
                      <w:sz w:val="20"/>
                      <w:szCs w:val="20"/>
                      <w:lang w:eastAsia="en-US"/>
                    </w:rPr>
                    <w:t>ib</w:t>
                  </w:r>
                  <w:r>
                    <w:rPr>
                      <w:rFonts w:eastAsia="Times New Roman"/>
                      <w:color w:val="000000"/>
                      <w:sz w:val="20"/>
                      <w:szCs w:val="20"/>
                      <w:lang w:eastAsia="en-US"/>
                    </w:rPr>
                    <w:t>o</w:t>
                  </w:r>
                  <w:r w:rsidRPr="00DA48A2">
                    <w:rPr>
                      <w:rFonts w:eastAsia="Times New Roman"/>
                      <w:color w:val="000000"/>
                      <w:sz w:val="20"/>
                      <w:szCs w:val="20"/>
                      <w:lang w:eastAsia="en-US"/>
                    </w:rPr>
                    <w:t>u</w:t>
                  </w:r>
                </w:p>
              </w:tc>
              <w:tc>
                <w:tcPr>
                  <w:tcW w:w="900" w:type="dxa"/>
                  <w:tcBorders>
                    <w:top w:val="nil"/>
                    <w:left w:val="nil"/>
                    <w:bottom w:val="single" w:sz="8" w:space="0" w:color="auto"/>
                    <w:right w:val="single" w:sz="8" w:space="0" w:color="auto"/>
                  </w:tcBorders>
                  <w:shd w:val="clear" w:color="auto" w:fill="auto"/>
                  <w:noWrap/>
                  <w:vAlign w:val="center"/>
                  <w:hideMark/>
                </w:tcPr>
                <w:p w14:paraId="5488851F" w14:textId="77777777" w:rsidR="0027224D" w:rsidRPr="00DA48A2" w:rsidRDefault="0027224D" w:rsidP="0027224D">
                  <w:pPr>
                    <w:spacing w:after="0" w:line="240" w:lineRule="auto"/>
                    <w:jc w:val="right"/>
                    <w:rPr>
                      <w:rFonts w:eastAsia="Times New Roman"/>
                      <w:color w:val="000000"/>
                      <w:sz w:val="20"/>
                      <w:szCs w:val="20"/>
                      <w:lang w:eastAsia="en-US"/>
                    </w:rPr>
                  </w:pPr>
                  <w:r>
                    <w:rPr>
                      <w:rFonts w:eastAsia="Times New Roman"/>
                      <w:color w:val="000000"/>
                      <w:sz w:val="20"/>
                      <w:szCs w:val="20"/>
                      <w:lang w:eastAsia="en-US"/>
                    </w:rPr>
                    <w:t>110</w:t>
                  </w:r>
                </w:p>
              </w:tc>
              <w:tc>
                <w:tcPr>
                  <w:tcW w:w="1080" w:type="dxa"/>
                  <w:tcBorders>
                    <w:top w:val="nil"/>
                    <w:left w:val="nil"/>
                    <w:bottom w:val="single" w:sz="8" w:space="0" w:color="auto"/>
                    <w:right w:val="single" w:sz="8" w:space="0" w:color="auto"/>
                  </w:tcBorders>
                  <w:shd w:val="clear" w:color="auto" w:fill="auto"/>
                  <w:noWrap/>
                  <w:vAlign w:val="center"/>
                  <w:hideMark/>
                </w:tcPr>
                <w:p w14:paraId="1467EAC7" w14:textId="77777777" w:rsidR="0027224D" w:rsidRPr="00DA48A2" w:rsidRDefault="0027224D" w:rsidP="0027224D">
                  <w:pPr>
                    <w:spacing w:after="0" w:line="240" w:lineRule="auto"/>
                    <w:jc w:val="right"/>
                    <w:rPr>
                      <w:rFonts w:eastAsia="Times New Roman"/>
                      <w:color w:val="000000"/>
                      <w:sz w:val="20"/>
                      <w:szCs w:val="20"/>
                      <w:lang w:eastAsia="en-US"/>
                    </w:rPr>
                  </w:pPr>
                  <w:r>
                    <w:rPr>
                      <w:rFonts w:eastAsia="Times New Roman"/>
                      <w:color w:val="000000"/>
                      <w:sz w:val="20"/>
                      <w:szCs w:val="20"/>
                      <w:lang w:eastAsia="en-US"/>
                    </w:rPr>
                    <w:t>600</w:t>
                  </w:r>
                </w:p>
              </w:tc>
              <w:tc>
                <w:tcPr>
                  <w:tcW w:w="1170" w:type="dxa"/>
                  <w:tcBorders>
                    <w:top w:val="nil"/>
                    <w:left w:val="nil"/>
                    <w:bottom w:val="single" w:sz="8" w:space="0" w:color="auto"/>
                    <w:right w:val="single" w:sz="8" w:space="0" w:color="auto"/>
                  </w:tcBorders>
                  <w:shd w:val="clear" w:color="auto" w:fill="auto"/>
                  <w:noWrap/>
                  <w:vAlign w:val="center"/>
                  <w:hideMark/>
                </w:tcPr>
                <w:p w14:paraId="71A69913" w14:textId="77777777" w:rsidR="0027224D" w:rsidRPr="00DA48A2" w:rsidRDefault="0027224D" w:rsidP="0027224D">
                  <w:pPr>
                    <w:spacing w:after="0" w:line="240" w:lineRule="auto"/>
                    <w:jc w:val="right"/>
                    <w:rPr>
                      <w:rFonts w:eastAsia="Times New Roman"/>
                      <w:color w:val="000000"/>
                      <w:sz w:val="20"/>
                      <w:szCs w:val="20"/>
                      <w:lang w:eastAsia="en-US"/>
                    </w:rPr>
                  </w:pPr>
                  <w:r>
                    <w:rPr>
                      <w:rFonts w:eastAsia="Times New Roman"/>
                      <w:color w:val="000000"/>
                      <w:sz w:val="20"/>
                      <w:szCs w:val="20"/>
                      <w:lang w:eastAsia="en-US"/>
                    </w:rPr>
                    <w:t>4</w:t>
                  </w:r>
                </w:p>
              </w:tc>
              <w:tc>
                <w:tcPr>
                  <w:tcW w:w="1267" w:type="dxa"/>
                  <w:tcBorders>
                    <w:top w:val="nil"/>
                    <w:left w:val="nil"/>
                    <w:bottom w:val="single" w:sz="8" w:space="0" w:color="auto"/>
                    <w:right w:val="single" w:sz="8" w:space="0" w:color="auto"/>
                  </w:tcBorders>
                </w:tcPr>
                <w:p w14:paraId="1F4B645E" w14:textId="77777777" w:rsidR="0027224D" w:rsidRPr="00DA48A2" w:rsidRDefault="0027224D" w:rsidP="0027224D">
                  <w:pPr>
                    <w:spacing w:after="0" w:line="240" w:lineRule="auto"/>
                    <w:rPr>
                      <w:rFonts w:eastAsia="Times New Roman"/>
                      <w:color w:val="000000"/>
                      <w:sz w:val="20"/>
                      <w:szCs w:val="20"/>
                      <w:lang w:eastAsia="en-US"/>
                    </w:rPr>
                  </w:pPr>
                  <w:r>
                    <w:rPr>
                      <w:rFonts w:eastAsia="Times New Roman"/>
                      <w:color w:val="000000"/>
                      <w:sz w:val="20"/>
                      <w:szCs w:val="20"/>
                      <w:lang w:eastAsia="en-US"/>
                    </w:rPr>
                    <w:t>264000</w:t>
                  </w:r>
                </w:p>
              </w:tc>
            </w:tr>
            <w:tr w:rsidR="0027224D" w:rsidRPr="00DA48A2" w14:paraId="39A7C69C" w14:textId="77777777" w:rsidTr="0027224D">
              <w:trPr>
                <w:trHeight w:val="730"/>
              </w:trPr>
              <w:tc>
                <w:tcPr>
                  <w:tcW w:w="3330" w:type="dxa"/>
                  <w:tcBorders>
                    <w:top w:val="nil"/>
                    <w:left w:val="single" w:sz="8" w:space="0" w:color="auto"/>
                    <w:bottom w:val="single" w:sz="8" w:space="0" w:color="auto"/>
                    <w:right w:val="single" w:sz="8" w:space="0" w:color="auto"/>
                  </w:tcBorders>
                  <w:shd w:val="clear" w:color="auto" w:fill="auto"/>
                  <w:vAlign w:val="center"/>
                  <w:hideMark/>
                </w:tcPr>
                <w:p w14:paraId="45BE0928" w14:textId="1828CDBF" w:rsidR="0027224D" w:rsidRPr="0027224D" w:rsidRDefault="00486DE2" w:rsidP="0027224D">
                  <w:pPr>
                    <w:spacing w:after="0" w:line="240" w:lineRule="auto"/>
                    <w:rPr>
                      <w:rFonts w:eastAsia="Times New Roman"/>
                      <w:color w:val="000000"/>
                      <w:sz w:val="20"/>
                      <w:szCs w:val="20"/>
                      <w:lang w:val="en-US" w:eastAsia="en-US"/>
                    </w:rPr>
                  </w:pPr>
                  <w:r>
                    <w:rPr>
                      <w:rFonts w:asciiTheme="minorHAnsi" w:eastAsia="Times New Roman" w:hAnsiTheme="minorHAnsi" w:cstheme="minorHAnsi"/>
                      <w:color w:val="000000"/>
                      <w:sz w:val="20"/>
                      <w:szCs w:val="20"/>
                      <w:lang w:eastAsia="en-US"/>
                    </w:rPr>
                    <w:t>Aide pour rapatriement volontaire</w:t>
                  </w:r>
                </w:p>
              </w:tc>
              <w:tc>
                <w:tcPr>
                  <w:tcW w:w="1523" w:type="dxa"/>
                  <w:tcBorders>
                    <w:top w:val="nil"/>
                    <w:left w:val="nil"/>
                    <w:bottom w:val="single" w:sz="8" w:space="0" w:color="auto"/>
                    <w:right w:val="single" w:sz="8" w:space="0" w:color="auto"/>
                  </w:tcBorders>
                  <w:shd w:val="clear" w:color="auto" w:fill="auto"/>
                  <w:noWrap/>
                  <w:vAlign w:val="center"/>
                  <w:hideMark/>
                </w:tcPr>
                <w:p w14:paraId="267229A9" w14:textId="77777777" w:rsidR="0027224D" w:rsidRPr="00DA48A2" w:rsidRDefault="0027224D" w:rsidP="0027224D">
                  <w:pPr>
                    <w:spacing w:after="0" w:line="240" w:lineRule="auto"/>
                    <w:rPr>
                      <w:rFonts w:eastAsia="Times New Roman"/>
                      <w:color w:val="000000"/>
                      <w:sz w:val="20"/>
                      <w:szCs w:val="20"/>
                      <w:lang w:eastAsia="en-US"/>
                    </w:rPr>
                  </w:pPr>
                  <w:r w:rsidRPr="00DA48A2">
                    <w:rPr>
                      <w:rFonts w:eastAsia="Times New Roman"/>
                      <w:color w:val="000000"/>
                      <w:sz w:val="20"/>
                      <w:szCs w:val="20"/>
                      <w:lang w:eastAsia="en-US"/>
                    </w:rPr>
                    <w:t>Nouakchott, Nouad</w:t>
                  </w:r>
                  <w:r>
                    <w:rPr>
                      <w:rFonts w:eastAsia="Times New Roman"/>
                      <w:color w:val="000000"/>
                      <w:sz w:val="20"/>
                      <w:szCs w:val="20"/>
                      <w:lang w:eastAsia="en-US"/>
                    </w:rPr>
                    <w:t>h</w:t>
                  </w:r>
                  <w:r w:rsidRPr="00DA48A2">
                    <w:rPr>
                      <w:rFonts w:eastAsia="Times New Roman"/>
                      <w:color w:val="000000"/>
                      <w:sz w:val="20"/>
                      <w:szCs w:val="20"/>
                      <w:lang w:eastAsia="en-US"/>
                    </w:rPr>
                    <w:t>ib</w:t>
                  </w:r>
                  <w:r>
                    <w:rPr>
                      <w:rFonts w:eastAsia="Times New Roman"/>
                      <w:color w:val="000000"/>
                      <w:sz w:val="20"/>
                      <w:szCs w:val="20"/>
                      <w:lang w:eastAsia="en-US"/>
                    </w:rPr>
                    <w:t>o</w:t>
                  </w:r>
                  <w:r w:rsidRPr="00DA48A2">
                    <w:rPr>
                      <w:rFonts w:eastAsia="Times New Roman"/>
                      <w:color w:val="000000"/>
                      <w:sz w:val="20"/>
                      <w:szCs w:val="20"/>
                      <w:lang w:eastAsia="en-US"/>
                    </w:rPr>
                    <w:t>u</w:t>
                  </w:r>
                </w:p>
              </w:tc>
              <w:tc>
                <w:tcPr>
                  <w:tcW w:w="900" w:type="dxa"/>
                  <w:tcBorders>
                    <w:top w:val="nil"/>
                    <w:left w:val="nil"/>
                    <w:bottom w:val="single" w:sz="8" w:space="0" w:color="auto"/>
                    <w:right w:val="single" w:sz="8" w:space="0" w:color="auto"/>
                  </w:tcBorders>
                  <w:shd w:val="clear" w:color="auto" w:fill="auto"/>
                  <w:noWrap/>
                  <w:vAlign w:val="center"/>
                  <w:hideMark/>
                </w:tcPr>
                <w:p w14:paraId="04B501FA" w14:textId="77777777" w:rsidR="0027224D" w:rsidRPr="00DA48A2" w:rsidRDefault="0027224D" w:rsidP="0027224D">
                  <w:pPr>
                    <w:spacing w:after="0" w:line="240" w:lineRule="auto"/>
                    <w:jc w:val="right"/>
                    <w:rPr>
                      <w:rFonts w:eastAsia="Times New Roman"/>
                      <w:color w:val="000000"/>
                      <w:sz w:val="20"/>
                      <w:szCs w:val="20"/>
                      <w:lang w:eastAsia="en-US"/>
                    </w:rPr>
                  </w:pPr>
                  <w:r w:rsidRPr="00DA48A2">
                    <w:rPr>
                      <w:rFonts w:eastAsia="Times New Roman"/>
                      <w:color w:val="000000"/>
                      <w:sz w:val="20"/>
                      <w:szCs w:val="20"/>
                      <w:lang w:eastAsia="en-US"/>
                    </w:rPr>
                    <w:t>50</w:t>
                  </w:r>
                </w:p>
              </w:tc>
              <w:tc>
                <w:tcPr>
                  <w:tcW w:w="1080" w:type="dxa"/>
                  <w:tcBorders>
                    <w:top w:val="nil"/>
                    <w:left w:val="nil"/>
                    <w:bottom w:val="single" w:sz="8" w:space="0" w:color="auto"/>
                    <w:right w:val="single" w:sz="8" w:space="0" w:color="auto"/>
                  </w:tcBorders>
                  <w:shd w:val="clear" w:color="auto" w:fill="auto"/>
                  <w:noWrap/>
                  <w:vAlign w:val="center"/>
                  <w:hideMark/>
                </w:tcPr>
                <w:p w14:paraId="2F199589" w14:textId="77777777" w:rsidR="0027224D" w:rsidRPr="00DA48A2" w:rsidRDefault="0027224D" w:rsidP="0027224D">
                  <w:pPr>
                    <w:spacing w:after="0" w:line="240" w:lineRule="auto"/>
                    <w:jc w:val="right"/>
                    <w:rPr>
                      <w:rFonts w:eastAsia="Times New Roman"/>
                      <w:color w:val="000000"/>
                      <w:sz w:val="20"/>
                      <w:szCs w:val="20"/>
                      <w:lang w:eastAsia="en-US"/>
                    </w:rPr>
                  </w:pPr>
                  <w:r w:rsidRPr="00DA48A2">
                    <w:rPr>
                      <w:rFonts w:eastAsia="Times New Roman"/>
                      <w:color w:val="000000"/>
                      <w:sz w:val="20"/>
                      <w:szCs w:val="20"/>
                      <w:lang w:eastAsia="en-US"/>
                    </w:rPr>
                    <w:t>150</w:t>
                  </w:r>
                </w:p>
              </w:tc>
              <w:tc>
                <w:tcPr>
                  <w:tcW w:w="1170" w:type="dxa"/>
                  <w:tcBorders>
                    <w:top w:val="nil"/>
                    <w:left w:val="nil"/>
                    <w:bottom w:val="single" w:sz="8" w:space="0" w:color="auto"/>
                    <w:right w:val="single" w:sz="8" w:space="0" w:color="auto"/>
                  </w:tcBorders>
                  <w:shd w:val="clear" w:color="auto" w:fill="auto"/>
                  <w:noWrap/>
                  <w:vAlign w:val="center"/>
                  <w:hideMark/>
                </w:tcPr>
                <w:p w14:paraId="038A67B7" w14:textId="77777777" w:rsidR="0027224D" w:rsidRPr="00DA48A2" w:rsidRDefault="0027224D" w:rsidP="0027224D">
                  <w:pPr>
                    <w:spacing w:after="0" w:line="240" w:lineRule="auto"/>
                    <w:jc w:val="right"/>
                    <w:rPr>
                      <w:rFonts w:eastAsia="Times New Roman"/>
                      <w:color w:val="000000"/>
                      <w:sz w:val="20"/>
                      <w:szCs w:val="20"/>
                      <w:lang w:eastAsia="en-US"/>
                    </w:rPr>
                  </w:pPr>
                  <w:r w:rsidRPr="00DA48A2">
                    <w:rPr>
                      <w:rFonts w:eastAsia="Times New Roman"/>
                      <w:color w:val="000000"/>
                      <w:sz w:val="20"/>
                      <w:szCs w:val="20"/>
                      <w:lang w:eastAsia="en-US"/>
                    </w:rPr>
                    <w:t>1</w:t>
                  </w:r>
                </w:p>
              </w:tc>
              <w:tc>
                <w:tcPr>
                  <w:tcW w:w="1267" w:type="dxa"/>
                  <w:tcBorders>
                    <w:top w:val="nil"/>
                    <w:left w:val="nil"/>
                    <w:bottom w:val="single" w:sz="8" w:space="0" w:color="auto"/>
                    <w:right w:val="single" w:sz="8" w:space="0" w:color="auto"/>
                  </w:tcBorders>
                </w:tcPr>
                <w:p w14:paraId="6FB97AC5" w14:textId="77777777" w:rsidR="0027224D" w:rsidRPr="00DA48A2" w:rsidRDefault="0027224D" w:rsidP="0027224D">
                  <w:pPr>
                    <w:spacing w:after="0" w:line="240" w:lineRule="auto"/>
                    <w:rPr>
                      <w:rFonts w:eastAsia="Times New Roman"/>
                      <w:color w:val="000000"/>
                      <w:sz w:val="20"/>
                      <w:szCs w:val="20"/>
                      <w:lang w:eastAsia="en-US"/>
                    </w:rPr>
                  </w:pPr>
                  <w:r>
                    <w:rPr>
                      <w:rFonts w:eastAsia="Times New Roman"/>
                      <w:color w:val="000000"/>
                      <w:sz w:val="20"/>
                      <w:szCs w:val="20"/>
                      <w:lang w:eastAsia="en-US"/>
                    </w:rPr>
                    <w:t>7500</w:t>
                  </w:r>
                </w:p>
              </w:tc>
            </w:tr>
          </w:tbl>
          <w:p w14:paraId="01A39575" w14:textId="77777777" w:rsidR="00CB703D" w:rsidRDefault="00CB703D" w:rsidP="00DB0421">
            <w:pPr>
              <w:spacing w:after="0" w:line="240" w:lineRule="auto"/>
              <w:rPr>
                <w:rFonts w:asciiTheme="minorHAnsi" w:hAnsiTheme="minorHAnsi"/>
                <w:color w:val="C00000"/>
                <w:sz w:val="21"/>
                <w:szCs w:val="21"/>
                <w:u w:val="single"/>
              </w:rPr>
            </w:pPr>
          </w:p>
          <w:p w14:paraId="00000029" w14:textId="12E98252" w:rsidR="00AA1640" w:rsidRPr="002C4B58" w:rsidRDefault="002C0000" w:rsidP="00673BBC">
            <w:pPr>
              <w:spacing w:after="0" w:line="240" w:lineRule="auto"/>
              <w:rPr>
                <w:rFonts w:asciiTheme="minorHAnsi" w:eastAsia="Arial" w:hAnsiTheme="minorHAnsi" w:cs="Arial"/>
                <w:color w:val="C00000"/>
                <w:sz w:val="21"/>
                <w:szCs w:val="21"/>
              </w:rPr>
            </w:pPr>
            <w:r w:rsidRPr="00486526">
              <w:rPr>
                <w:rFonts w:asciiTheme="minorHAnsi" w:hAnsiTheme="minorHAnsi"/>
                <w:sz w:val="21"/>
                <w:szCs w:val="21"/>
                <w:u w:val="single"/>
              </w:rPr>
              <w:t>Principale(s) langue(s) parlée(s) :</w:t>
            </w:r>
            <w:r w:rsidRPr="00486526">
              <w:rPr>
                <w:rFonts w:asciiTheme="minorHAnsi" w:hAnsiTheme="minorHAnsi"/>
                <w:sz w:val="21"/>
                <w:szCs w:val="21"/>
              </w:rPr>
              <w:t xml:space="preserve"> </w:t>
            </w:r>
            <w:proofErr w:type="gramStart"/>
            <w:r w:rsidR="00CB703D" w:rsidRPr="00486526">
              <w:rPr>
                <w:rFonts w:asciiTheme="minorHAnsi" w:hAnsiTheme="minorHAnsi"/>
                <w:sz w:val="21"/>
                <w:szCs w:val="21"/>
              </w:rPr>
              <w:t>Arabe</w:t>
            </w:r>
            <w:r w:rsidR="0027224D" w:rsidRPr="00486526">
              <w:rPr>
                <w:rFonts w:asciiTheme="minorHAnsi" w:hAnsiTheme="minorHAnsi"/>
                <w:sz w:val="21"/>
                <w:szCs w:val="21"/>
              </w:rPr>
              <w:t> ,Français</w:t>
            </w:r>
            <w:proofErr w:type="gramEnd"/>
            <w:r w:rsidR="00673BBC" w:rsidRPr="00486526">
              <w:rPr>
                <w:rFonts w:asciiTheme="minorHAnsi" w:hAnsiTheme="minorHAnsi"/>
                <w:sz w:val="21"/>
                <w:szCs w:val="21"/>
              </w:rPr>
              <w:t>, Bambara, Tamashek</w:t>
            </w:r>
          </w:p>
        </w:tc>
      </w:tr>
    </w:tbl>
    <w:p w14:paraId="00000034" w14:textId="77777777" w:rsidR="00AA1640" w:rsidRPr="002C4B58" w:rsidRDefault="00AA1640">
      <w:pPr>
        <w:spacing w:after="0" w:line="240" w:lineRule="auto"/>
        <w:jc w:val="both"/>
        <w:rPr>
          <w:rFonts w:asciiTheme="minorHAnsi" w:eastAsia="Arial" w:hAnsiTheme="minorHAnsi" w:cs="Arial"/>
          <w:color w:val="000000"/>
          <w:sz w:val="21"/>
          <w:szCs w:val="21"/>
        </w:rPr>
      </w:pPr>
    </w:p>
    <w:p w14:paraId="00000035" w14:textId="33B238A3" w:rsidR="00AA1640" w:rsidRPr="002C4B58" w:rsidRDefault="002C0000" w:rsidP="00F7152B">
      <w:pPr>
        <w:spacing w:after="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Le HCR reconna</w:t>
      </w:r>
      <w:r w:rsidR="00063B2D">
        <w:rPr>
          <w:rFonts w:asciiTheme="minorHAnsi" w:hAnsiTheme="minorHAnsi"/>
          <w:color w:val="000000"/>
          <w:sz w:val="21"/>
          <w:szCs w:val="21"/>
        </w:rPr>
        <w:t>î</w:t>
      </w:r>
      <w:r>
        <w:rPr>
          <w:rFonts w:asciiTheme="minorHAnsi" w:hAnsiTheme="minorHAnsi"/>
          <w:color w:val="000000"/>
          <w:sz w:val="21"/>
          <w:szCs w:val="21"/>
        </w:rPr>
        <w:t>t qu’un prestataire de services financiers peut ne pas être en mesure de couvrir toutes les zones géographiques requises.</w:t>
      </w:r>
      <w:r w:rsidR="00063B2D">
        <w:rPr>
          <w:rFonts w:asciiTheme="minorHAnsi" w:hAnsiTheme="minorHAnsi"/>
          <w:color w:val="000000"/>
          <w:sz w:val="21"/>
          <w:szCs w:val="21"/>
        </w:rPr>
        <w:t xml:space="preserve"> </w:t>
      </w:r>
      <w:r>
        <w:rPr>
          <w:rFonts w:asciiTheme="minorHAnsi" w:hAnsiTheme="minorHAnsi"/>
          <w:sz w:val="21"/>
          <w:szCs w:val="21"/>
        </w:rPr>
        <w:t>Votre société est invitée à présenter une offre pour 1 lot ou plus, considérés comme les plus adaptés à vos capacités.</w:t>
      </w:r>
      <w:r w:rsidR="00063B2D">
        <w:rPr>
          <w:rFonts w:asciiTheme="minorHAnsi" w:hAnsiTheme="minorHAnsi"/>
          <w:color w:val="000000"/>
          <w:sz w:val="21"/>
          <w:szCs w:val="21"/>
        </w:rPr>
        <w:t xml:space="preserve"> </w:t>
      </w:r>
      <w:r>
        <w:rPr>
          <w:rFonts w:asciiTheme="minorHAnsi" w:hAnsiTheme="minorHAnsi"/>
          <w:color w:val="000000"/>
          <w:sz w:val="21"/>
          <w:szCs w:val="21"/>
        </w:rPr>
        <w:t xml:space="preserve">Toutefois, le prestataire de services financiers doit pouvoir fournir des services de transfert financier dans l’ensemble des emplacements précisés dans le lot pour lequel vous soumissionnez. </w:t>
      </w:r>
    </w:p>
    <w:p w14:paraId="00000036" w14:textId="1C00506A" w:rsidR="00AA1640" w:rsidRPr="002C4B58" w:rsidRDefault="002C0000">
      <w:pPr>
        <w:spacing w:before="100" w:after="0" w:line="240" w:lineRule="auto"/>
        <w:jc w:val="both"/>
        <w:rPr>
          <w:rFonts w:asciiTheme="minorHAnsi" w:eastAsia="Arial" w:hAnsiTheme="minorHAnsi" w:cs="Arial"/>
          <w:sz w:val="21"/>
          <w:szCs w:val="21"/>
        </w:rPr>
      </w:pPr>
      <w:r>
        <w:rPr>
          <w:rFonts w:asciiTheme="minorHAnsi" w:hAnsiTheme="minorHAnsi"/>
          <w:sz w:val="21"/>
          <w:szCs w:val="21"/>
        </w:rPr>
        <w:t>Lors de la réponse du HCR aux situations d’urgence de déplacement et de retours spontanés de personnes relevant de sa compétence, qui pourraient aller au-delà des nombres d’emplacements et de populations déclarées dans ces termes de référence dans le cas où le HCR nécessite des services ultérieurs en vertu du même accord-cadre, les soumissionnaires doivent spécifier les autres emplace</w:t>
      </w:r>
      <w:r w:rsidR="00063B2D">
        <w:rPr>
          <w:rFonts w:asciiTheme="minorHAnsi" w:hAnsiTheme="minorHAnsi"/>
          <w:sz w:val="21"/>
          <w:szCs w:val="21"/>
        </w:rPr>
        <w:t>ment</w:t>
      </w:r>
      <w:r>
        <w:rPr>
          <w:rFonts w:asciiTheme="minorHAnsi" w:hAnsiTheme="minorHAnsi"/>
          <w:sz w:val="21"/>
          <w:szCs w:val="21"/>
        </w:rPr>
        <w:t>s géographiques où des services de transfert financier peuvent être fournis au sein du pays.</w:t>
      </w:r>
    </w:p>
    <w:p w14:paraId="00000037" w14:textId="77777777" w:rsidR="00AA1640" w:rsidRPr="002C4B58" w:rsidRDefault="00AA1640">
      <w:pPr>
        <w:spacing w:after="0" w:line="240" w:lineRule="auto"/>
        <w:jc w:val="both"/>
        <w:rPr>
          <w:rFonts w:asciiTheme="minorHAnsi" w:eastAsia="Arial" w:hAnsiTheme="minorHAnsi" w:cs="Arial"/>
          <w:color w:val="000000"/>
          <w:sz w:val="21"/>
          <w:szCs w:val="21"/>
        </w:rPr>
      </w:pPr>
    </w:p>
    <w:p w14:paraId="00000038" w14:textId="77777777" w:rsidR="00AA1640" w:rsidRPr="002C4B58" w:rsidRDefault="002C0000" w:rsidP="00A61661">
      <w:pPr>
        <w:spacing w:after="0" w:line="240" w:lineRule="auto"/>
        <w:jc w:val="both"/>
        <w:rPr>
          <w:rFonts w:asciiTheme="minorHAnsi" w:eastAsia="Arial" w:hAnsiTheme="minorHAnsi" w:cs="Arial"/>
          <w:color w:val="1F3864"/>
          <w:sz w:val="21"/>
          <w:szCs w:val="21"/>
          <w:u w:val="single"/>
        </w:rPr>
      </w:pPr>
      <w:r>
        <w:rPr>
          <w:rFonts w:asciiTheme="minorHAnsi" w:hAnsiTheme="minorHAnsi"/>
          <w:b/>
          <w:color w:val="1F3864"/>
          <w:sz w:val="21"/>
          <w:szCs w:val="21"/>
          <w:u w:val="single"/>
        </w:rPr>
        <w:t>III. Mécanisme de transfert et de décaissement</w:t>
      </w:r>
    </w:p>
    <w:p w14:paraId="00000039" w14:textId="6F90B844" w:rsidR="00AA1640" w:rsidRPr="002C4B58" w:rsidRDefault="002C0000">
      <w:pPr>
        <w:spacing w:after="12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Le HCR transmettra de manière sécurisée au prestataire de services financiers les listes des bénéficiaires ciblés, le montant à transférer et les renseignements financiers associés.</w:t>
      </w:r>
      <w:r w:rsidR="00063B2D">
        <w:rPr>
          <w:rFonts w:asciiTheme="minorHAnsi" w:hAnsiTheme="minorHAnsi"/>
          <w:color w:val="000000"/>
          <w:sz w:val="21"/>
          <w:szCs w:val="21"/>
        </w:rPr>
        <w:t xml:space="preserve"> </w:t>
      </w:r>
      <w:r>
        <w:rPr>
          <w:rFonts w:asciiTheme="minorHAnsi" w:hAnsiTheme="minorHAnsi"/>
          <w:color w:val="000000"/>
          <w:sz w:val="21"/>
          <w:szCs w:val="21"/>
        </w:rPr>
        <w:t>Le prestataire de services financiers transf</w:t>
      </w:r>
      <w:r w:rsidR="00063B2D">
        <w:rPr>
          <w:rFonts w:asciiTheme="minorHAnsi" w:hAnsiTheme="minorHAnsi"/>
          <w:color w:val="000000"/>
          <w:sz w:val="21"/>
          <w:szCs w:val="21"/>
        </w:rPr>
        <w:t>é</w:t>
      </w:r>
      <w:r>
        <w:rPr>
          <w:rFonts w:asciiTheme="minorHAnsi" w:hAnsiTheme="minorHAnsi"/>
          <w:color w:val="000000"/>
          <w:sz w:val="21"/>
          <w:szCs w:val="21"/>
        </w:rPr>
        <w:t>rera alors les fonds désignés aux personnes ciblées de manière responsable, rapide et sécurisée.</w:t>
      </w:r>
    </w:p>
    <w:p w14:paraId="0000003B" w14:textId="5A418F50" w:rsidR="00AA1640" w:rsidRPr="002C4B58" w:rsidRDefault="002C0000">
      <w:pPr>
        <w:spacing w:before="100" w:after="12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Ils doivent également décrire la manière dont leur système de transfert de fonds concernera les transferts uniques et réguliers (mensuels ou autre fréquence).</w:t>
      </w:r>
      <w:r w:rsidR="00063B2D">
        <w:rPr>
          <w:rFonts w:asciiTheme="minorHAnsi" w:hAnsiTheme="minorHAnsi"/>
          <w:color w:val="000000"/>
          <w:sz w:val="21"/>
          <w:szCs w:val="21"/>
        </w:rPr>
        <w:t xml:space="preserve"> </w:t>
      </w:r>
      <w:r>
        <w:rPr>
          <w:rFonts w:asciiTheme="minorHAnsi" w:hAnsiTheme="minorHAnsi"/>
          <w:color w:val="000000"/>
          <w:sz w:val="21"/>
          <w:szCs w:val="21"/>
        </w:rPr>
        <w:t xml:space="preserve">Le ou les mécanismes de transfert doivent être clairement présentés et détaillés dans l’offre. </w:t>
      </w:r>
    </w:p>
    <w:p w14:paraId="0000003C" w14:textId="70B1E18B" w:rsidR="00AA1640" w:rsidRPr="002C4B58" w:rsidRDefault="002C0000">
      <w:pPr>
        <w:spacing w:before="100" w:after="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Les prestataires de services financiers sont encouragés à montrer clairement les mesures entreprises pour veiller à ce que le bénéficiaire cible soit en mesure d’accéder au service de transfert et à l’utiliser efficacement.</w:t>
      </w:r>
      <w:r w:rsidR="00063B2D">
        <w:rPr>
          <w:rFonts w:asciiTheme="minorHAnsi" w:hAnsiTheme="minorHAnsi"/>
          <w:color w:val="000000"/>
          <w:sz w:val="21"/>
          <w:szCs w:val="21"/>
        </w:rPr>
        <w:t xml:space="preserve"> </w:t>
      </w:r>
      <w:r>
        <w:rPr>
          <w:rFonts w:asciiTheme="minorHAnsi" w:hAnsiTheme="minorHAnsi"/>
          <w:color w:val="000000"/>
          <w:sz w:val="21"/>
          <w:szCs w:val="21"/>
        </w:rPr>
        <w:t xml:space="preserve">Les soumissions doivent si nécessaire comprendre les activités, modes et méthodes de communication, et la formation qui seront mis en œuvre pour assurer des connaissances appropriées au sujet du mécanisme de transfert, et garantir sa bonne utilisation, à la fois pour les bénéficiaires et pour le personnel et </w:t>
      </w:r>
      <w:r w:rsidR="00063B2D">
        <w:rPr>
          <w:rFonts w:asciiTheme="minorHAnsi" w:hAnsiTheme="minorHAnsi"/>
          <w:color w:val="000000"/>
          <w:sz w:val="21"/>
          <w:szCs w:val="21"/>
        </w:rPr>
        <w:t xml:space="preserve">les </w:t>
      </w:r>
      <w:r>
        <w:rPr>
          <w:rFonts w:asciiTheme="minorHAnsi" w:hAnsiTheme="minorHAnsi"/>
          <w:color w:val="000000"/>
          <w:sz w:val="21"/>
          <w:szCs w:val="21"/>
        </w:rPr>
        <w:t>partenaires du HCR.</w:t>
      </w:r>
    </w:p>
    <w:p w14:paraId="0000003D" w14:textId="77777777" w:rsidR="00AA1640" w:rsidRPr="002C4B58" w:rsidRDefault="00AA1640">
      <w:pPr>
        <w:spacing w:after="0" w:line="240" w:lineRule="auto"/>
        <w:jc w:val="both"/>
        <w:rPr>
          <w:rFonts w:asciiTheme="minorHAnsi" w:eastAsia="Arial" w:hAnsiTheme="minorHAnsi" w:cs="Arial"/>
          <w:b/>
          <w:color w:val="1F3864"/>
          <w:sz w:val="21"/>
          <w:szCs w:val="21"/>
          <w:u w:val="single"/>
        </w:rPr>
      </w:pPr>
    </w:p>
    <w:p w14:paraId="0000003F" w14:textId="77777777" w:rsidR="00AA1640" w:rsidRPr="002C4B58" w:rsidRDefault="002C0000" w:rsidP="00A61661">
      <w:pPr>
        <w:spacing w:after="0" w:line="240" w:lineRule="auto"/>
        <w:jc w:val="both"/>
        <w:rPr>
          <w:rFonts w:asciiTheme="minorHAnsi" w:eastAsia="Arial" w:hAnsiTheme="minorHAnsi" w:cs="Arial"/>
          <w:color w:val="1F3864"/>
          <w:sz w:val="21"/>
          <w:szCs w:val="21"/>
          <w:u w:val="single"/>
        </w:rPr>
      </w:pPr>
      <w:r>
        <w:rPr>
          <w:rFonts w:asciiTheme="minorHAnsi" w:hAnsiTheme="minorHAnsi"/>
          <w:b/>
          <w:color w:val="1F3864"/>
          <w:sz w:val="21"/>
          <w:szCs w:val="21"/>
          <w:u w:val="single"/>
        </w:rPr>
        <w:t>IV. Types de mécanismes de transfert et de décaissement</w:t>
      </w:r>
    </w:p>
    <w:p w14:paraId="00000040" w14:textId="6649AAF8" w:rsidR="00AA1640" w:rsidRPr="002C4B58" w:rsidRDefault="002C0000" w:rsidP="0044467E">
      <w:pPr>
        <w:spacing w:after="0" w:line="240" w:lineRule="auto"/>
        <w:jc w:val="both"/>
        <w:rPr>
          <w:rFonts w:asciiTheme="minorHAnsi" w:eastAsia="Arial" w:hAnsiTheme="minorHAnsi" w:cs="Arial"/>
          <w:color w:val="C00000"/>
          <w:sz w:val="21"/>
          <w:szCs w:val="21"/>
        </w:rPr>
      </w:pPr>
      <w:r>
        <w:rPr>
          <w:rFonts w:asciiTheme="minorHAnsi" w:hAnsiTheme="minorHAnsi"/>
          <w:sz w:val="21"/>
          <w:szCs w:val="21"/>
        </w:rPr>
        <w:t>Les types de mécanismes de transfert et de décaissement considérés comprennent</w:t>
      </w:r>
      <w:r w:rsidR="0044467E">
        <w:rPr>
          <w:rFonts w:asciiTheme="minorHAnsi" w:hAnsiTheme="minorHAnsi"/>
          <w:color w:val="000000"/>
          <w:sz w:val="21"/>
          <w:szCs w:val="21"/>
        </w:rPr>
        <w:t> </w:t>
      </w:r>
      <w:r w:rsidR="0044467E">
        <w:rPr>
          <w:rFonts w:asciiTheme="minorHAnsi" w:hAnsiTheme="minorHAnsi"/>
          <w:i/>
          <w:color w:val="C00000"/>
          <w:sz w:val="21"/>
          <w:szCs w:val="21"/>
        </w:rPr>
        <w:t>:</w:t>
      </w:r>
    </w:p>
    <w:p w14:paraId="00000041" w14:textId="77777777" w:rsidR="00AA1640" w:rsidRPr="002C4B58" w:rsidRDefault="00AA1640">
      <w:pPr>
        <w:spacing w:after="0" w:line="240" w:lineRule="auto"/>
        <w:jc w:val="both"/>
        <w:rPr>
          <w:rFonts w:asciiTheme="minorHAnsi" w:eastAsia="Arial" w:hAnsiTheme="minorHAnsi" w:cs="Arial"/>
          <w:color w:val="000000"/>
          <w:sz w:val="21"/>
          <w:szCs w:val="21"/>
        </w:rPr>
      </w:pPr>
    </w:p>
    <w:p w14:paraId="00000042" w14:textId="7898DA89" w:rsidR="00AA1640" w:rsidRPr="004B0381" w:rsidRDefault="004B0381">
      <w:pPr>
        <w:numPr>
          <w:ilvl w:val="0"/>
          <w:numId w:val="3"/>
        </w:numPr>
        <w:pBdr>
          <w:top w:val="nil"/>
          <w:left w:val="nil"/>
          <w:bottom w:val="nil"/>
          <w:right w:val="nil"/>
          <w:between w:val="nil"/>
        </w:pBdr>
        <w:spacing w:after="0" w:line="240" w:lineRule="auto"/>
        <w:jc w:val="both"/>
        <w:rPr>
          <w:rFonts w:asciiTheme="minorHAnsi" w:eastAsia="Arial" w:hAnsiTheme="minorHAnsi" w:cs="Arial"/>
          <w:color w:val="000000"/>
          <w:sz w:val="21"/>
          <w:szCs w:val="21"/>
          <w:highlight w:val="yellow"/>
        </w:rPr>
      </w:pPr>
      <w:r w:rsidRPr="004B0381">
        <w:rPr>
          <w:rFonts w:asciiTheme="minorHAnsi" w:hAnsiTheme="minorHAnsi"/>
          <w:color w:val="000000"/>
          <w:sz w:val="21"/>
          <w:szCs w:val="21"/>
          <w:highlight w:val="yellow"/>
        </w:rPr>
        <w:t>L</w:t>
      </w:r>
      <w:r w:rsidR="002C0000" w:rsidRPr="004B0381">
        <w:rPr>
          <w:rFonts w:asciiTheme="minorHAnsi" w:hAnsiTheme="minorHAnsi"/>
          <w:color w:val="000000"/>
          <w:sz w:val="21"/>
          <w:szCs w:val="21"/>
          <w:highlight w:val="yellow"/>
        </w:rPr>
        <w:t>e transfert vers les comptes bancaires</w:t>
      </w:r>
      <w:r w:rsidR="00063B2D" w:rsidRPr="004B0381">
        <w:rPr>
          <w:rFonts w:asciiTheme="minorHAnsi" w:hAnsiTheme="minorHAnsi"/>
          <w:color w:val="000000"/>
          <w:sz w:val="21"/>
          <w:szCs w:val="21"/>
          <w:highlight w:val="yellow"/>
        </w:rPr>
        <w:t> </w:t>
      </w:r>
      <w:r w:rsidR="002C0000" w:rsidRPr="004B0381">
        <w:rPr>
          <w:rFonts w:asciiTheme="minorHAnsi" w:hAnsiTheme="minorHAnsi"/>
          <w:color w:val="000000"/>
          <w:sz w:val="21"/>
          <w:szCs w:val="21"/>
          <w:highlight w:val="yellow"/>
        </w:rPr>
        <w:t>;</w:t>
      </w:r>
    </w:p>
    <w:p w14:paraId="00000043" w14:textId="64C17F5F" w:rsidR="00AA1640" w:rsidRPr="004B0381" w:rsidRDefault="004B0381">
      <w:pPr>
        <w:numPr>
          <w:ilvl w:val="0"/>
          <w:numId w:val="3"/>
        </w:numPr>
        <w:pBdr>
          <w:top w:val="nil"/>
          <w:left w:val="nil"/>
          <w:bottom w:val="nil"/>
          <w:right w:val="nil"/>
          <w:between w:val="nil"/>
        </w:pBdr>
        <w:spacing w:after="0" w:line="240" w:lineRule="auto"/>
        <w:jc w:val="both"/>
        <w:rPr>
          <w:rFonts w:asciiTheme="minorHAnsi" w:eastAsia="Arial" w:hAnsiTheme="minorHAnsi" w:cs="Arial"/>
          <w:color w:val="000000"/>
          <w:sz w:val="21"/>
          <w:szCs w:val="21"/>
          <w:highlight w:val="yellow"/>
        </w:rPr>
      </w:pPr>
      <w:r w:rsidRPr="004B0381">
        <w:rPr>
          <w:rFonts w:asciiTheme="minorHAnsi" w:hAnsiTheme="minorHAnsi"/>
          <w:color w:val="000000"/>
          <w:sz w:val="21"/>
          <w:szCs w:val="21"/>
          <w:highlight w:val="yellow"/>
        </w:rPr>
        <w:t>Les</w:t>
      </w:r>
      <w:r w:rsidR="004E79C2" w:rsidRPr="004B0381">
        <w:rPr>
          <w:rFonts w:asciiTheme="minorHAnsi" w:hAnsiTheme="minorHAnsi"/>
          <w:color w:val="000000"/>
          <w:sz w:val="21"/>
          <w:szCs w:val="21"/>
          <w:highlight w:val="yellow"/>
        </w:rPr>
        <w:t xml:space="preserve"> cartes prépayées</w:t>
      </w:r>
      <w:r w:rsidR="00063B2D" w:rsidRPr="004B0381">
        <w:rPr>
          <w:rFonts w:asciiTheme="minorHAnsi" w:hAnsiTheme="minorHAnsi"/>
          <w:color w:val="000000"/>
          <w:sz w:val="21"/>
          <w:szCs w:val="21"/>
          <w:highlight w:val="yellow"/>
        </w:rPr>
        <w:t> </w:t>
      </w:r>
      <w:r w:rsidRPr="004B0381">
        <w:rPr>
          <w:rFonts w:asciiTheme="minorHAnsi" w:hAnsiTheme="minorHAnsi"/>
          <w:color w:val="000000"/>
          <w:sz w:val="21"/>
          <w:szCs w:val="21"/>
          <w:highlight w:val="yellow"/>
        </w:rPr>
        <w:t>(</w:t>
      </w:r>
      <w:r w:rsidRPr="004B0381">
        <w:rPr>
          <w:highlight w:val="yellow"/>
        </w:rPr>
        <w:t>Nouakchott &amp; Nouadhibou</w:t>
      </w:r>
      <w:proofErr w:type="gramStart"/>
      <w:r w:rsidRPr="004B0381">
        <w:rPr>
          <w:highlight w:val="yellow"/>
        </w:rPr>
        <w:t>)</w:t>
      </w:r>
      <w:r w:rsidR="004E79C2" w:rsidRPr="004B0381">
        <w:rPr>
          <w:rFonts w:asciiTheme="minorHAnsi" w:hAnsiTheme="minorHAnsi"/>
          <w:color w:val="000000"/>
          <w:sz w:val="21"/>
          <w:szCs w:val="21"/>
          <w:highlight w:val="yellow"/>
        </w:rPr>
        <w:t>;</w:t>
      </w:r>
      <w:proofErr w:type="gramEnd"/>
    </w:p>
    <w:p w14:paraId="00000044" w14:textId="20706AFF" w:rsidR="00AA1640" w:rsidRPr="004B0381" w:rsidRDefault="004B0381">
      <w:pPr>
        <w:numPr>
          <w:ilvl w:val="0"/>
          <w:numId w:val="3"/>
        </w:numPr>
        <w:pBdr>
          <w:top w:val="nil"/>
          <w:left w:val="nil"/>
          <w:bottom w:val="nil"/>
          <w:right w:val="nil"/>
          <w:between w:val="nil"/>
        </w:pBdr>
        <w:spacing w:after="0" w:line="240" w:lineRule="auto"/>
        <w:jc w:val="both"/>
        <w:rPr>
          <w:rFonts w:asciiTheme="minorHAnsi" w:eastAsia="Arial" w:hAnsiTheme="minorHAnsi" w:cs="Arial"/>
          <w:color w:val="000000"/>
          <w:sz w:val="21"/>
          <w:szCs w:val="21"/>
          <w:highlight w:val="yellow"/>
        </w:rPr>
      </w:pPr>
      <w:r w:rsidRPr="004B0381">
        <w:rPr>
          <w:rFonts w:asciiTheme="minorHAnsi" w:hAnsiTheme="minorHAnsi"/>
          <w:color w:val="000000"/>
          <w:sz w:val="21"/>
          <w:szCs w:val="21"/>
          <w:highlight w:val="yellow"/>
        </w:rPr>
        <w:t>L</w:t>
      </w:r>
      <w:r w:rsidR="002C0000" w:rsidRPr="004B0381">
        <w:rPr>
          <w:rFonts w:asciiTheme="minorHAnsi" w:hAnsiTheme="minorHAnsi"/>
          <w:color w:val="000000"/>
          <w:sz w:val="21"/>
          <w:szCs w:val="21"/>
          <w:highlight w:val="yellow"/>
        </w:rPr>
        <w:t>’argent mobile</w:t>
      </w:r>
      <w:r w:rsidR="00063B2D" w:rsidRPr="004B0381">
        <w:rPr>
          <w:rFonts w:asciiTheme="minorHAnsi" w:hAnsiTheme="minorHAnsi"/>
          <w:color w:val="000000"/>
          <w:sz w:val="21"/>
          <w:szCs w:val="21"/>
          <w:highlight w:val="yellow"/>
        </w:rPr>
        <w:t> </w:t>
      </w:r>
      <w:r w:rsidR="002C0000" w:rsidRPr="004B0381">
        <w:rPr>
          <w:rFonts w:asciiTheme="minorHAnsi" w:hAnsiTheme="minorHAnsi"/>
          <w:color w:val="000000"/>
          <w:sz w:val="21"/>
          <w:szCs w:val="21"/>
          <w:highlight w:val="yellow"/>
        </w:rPr>
        <w:t>;</w:t>
      </w:r>
    </w:p>
    <w:p w14:paraId="00000046" w14:textId="020F5F89" w:rsidR="00AA1640" w:rsidRPr="002C4B58" w:rsidRDefault="00AA1640" w:rsidP="00693B7D">
      <w:pPr>
        <w:pBdr>
          <w:top w:val="nil"/>
          <w:left w:val="nil"/>
          <w:bottom w:val="nil"/>
          <w:right w:val="nil"/>
          <w:between w:val="nil"/>
        </w:pBdr>
        <w:spacing w:after="0" w:line="240" w:lineRule="auto"/>
        <w:ind w:left="720"/>
        <w:jc w:val="both"/>
        <w:rPr>
          <w:rFonts w:asciiTheme="minorHAnsi" w:eastAsia="Arial" w:hAnsiTheme="minorHAnsi" w:cs="Arial"/>
          <w:color w:val="C00000"/>
          <w:sz w:val="21"/>
          <w:szCs w:val="21"/>
        </w:rPr>
      </w:pPr>
    </w:p>
    <w:p w14:paraId="00000047" w14:textId="77777777" w:rsidR="00AA1640" w:rsidRPr="002C4B58" w:rsidRDefault="002C0000" w:rsidP="002C4B58">
      <w:pPr>
        <w:spacing w:after="0" w:line="240" w:lineRule="auto"/>
        <w:jc w:val="both"/>
        <w:rPr>
          <w:rFonts w:asciiTheme="minorHAnsi" w:eastAsia="Arial" w:hAnsiTheme="minorHAnsi" w:cs="Arial"/>
          <w:color w:val="C00000"/>
          <w:sz w:val="21"/>
          <w:szCs w:val="21"/>
        </w:rPr>
      </w:pPr>
      <w:r>
        <w:rPr>
          <w:rFonts w:asciiTheme="minorHAnsi" w:hAnsiTheme="minorHAnsi"/>
          <w:sz w:val="21"/>
          <w:szCs w:val="21"/>
        </w:rPr>
        <w:t xml:space="preserve">Les </w:t>
      </w:r>
      <w:sdt>
        <w:sdtPr>
          <w:rPr>
            <w:rFonts w:asciiTheme="minorHAnsi" w:hAnsiTheme="minorHAnsi"/>
            <w:sz w:val="21"/>
            <w:szCs w:val="21"/>
          </w:rPr>
          <w:tag w:val="goog_rdk_1"/>
          <w:id w:val="786087182"/>
        </w:sdtPr>
        <w:sdtContent/>
      </w:sdt>
      <w:r>
        <w:rPr>
          <w:rFonts w:asciiTheme="minorHAnsi" w:hAnsiTheme="minorHAnsi"/>
          <w:sz w:val="21"/>
          <w:szCs w:val="21"/>
          <w:u w:val="single"/>
        </w:rPr>
        <w:t>normes minimales applicables à chaque mécanisme d’exécution</w:t>
      </w:r>
      <w:r>
        <w:rPr>
          <w:rFonts w:asciiTheme="minorHAnsi" w:hAnsiTheme="minorHAnsi"/>
          <w:sz w:val="21"/>
          <w:szCs w:val="21"/>
        </w:rPr>
        <w:t xml:space="preserve"> comprennent ce qui suit : </w:t>
      </w:r>
    </w:p>
    <w:p w14:paraId="00000048" w14:textId="4D8B5D08" w:rsidR="00AA1640" w:rsidRPr="002C4B58" w:rsidRDefault="002C0000" w:rsidP="002C4B58">
      <w:pPr>
        <w:numPr>
          <w:ilvl w:val="0"/>
          <w:numId w:val="8"/>
        </w:numPr>
        <w:pBdr>
          <w:top w:val="nil"/>
          <w:left w:val="nil"/>
          <w:bottom w:val="nil"/>
          <w:right w:val="nil"/>
          <w:between w:val="nil"/>
        </w:pBdr>
        <w:spacing w:after="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le prestataire de services financiers offre une liste détaillée et précise l’emplacement des points de retrait d’argent dans chaque zone d’intervention</w:t>
      </w:r>
      <w:r w:rsidR="00063B2D">
        <w:rPr>
          <w:rFonts w:asciiTheme="minorHAnsi" w:hAnsiTheme="minorHAnsi"/>
          <w:color w:val="000000"/>
          <w:sz w:val="21"/>
          <w:szCs w:val="21"/>
        </w:rPr>
        <w:t> </w:t>
      </w:r>
      <w:r>
        <w:rPr>
          <w:rFonts w:asciiTheme="minorHAnsi" w:hAnsiTheme="minorHAnsi"/>
          <w:color w:val="000000"/>
          <w:sz w:val="21"/>
          <w:szCs w:val="21"/>
        </w:rPr>
        <w:t>;</w:t>
      </w:r>
    </w:p>
    <w:p w14:paraId="00000049" w14:textId="2E435082" w:rsidR="00AA1640" w:rsidRPr="002C4B58" w:rsidRDefault="002C0000" w:rsidP="002C4B58">
      <w:pPr>
        <w:numPr>
          <w:ilvl w:val="0"/>
          <w:numId w:val="8"/>
        </w:numPr>
        <w:pBdr>
          <w:top w:val="nil"/>
          <w:left w:val="nil"/>
          <w:bottom w:val="nil"/>
          <w:right w:val="nil"/>
          <w:between w:val="nil"/>
        </w:pBdr>
        <w:spacing w:after="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le prestataire de services financiers garantit la disponibilité des montants exigés dans les points de retrait au plus tard 5 jours ouvrables après les comptes des cartes de crédit par le HCR</w:t>
      </w:r>
      <w:r w:rsidR="00063B2D">
        <w:rPr>
          <w:rFonts w:asciiTheme="minorHAnsi" w:hAnsiTheme="minorHAnsi"/>
          <w:color w:val="000000"/>
          <w:sz w:val="21"/>
          <w:szCs w:val="21"/>
        </w:rPr>
        <w:t> </w:t>
      </w:r>
      <w:r>
        <w:rPr>
          <w:rFonts w:asciiTheme="minorHAnsi" w:hAnsiTheme="minorHAnsi"/>
          <w:color w:val="000000"/>
          <w:sz w:val="21"/>
          <w:szCs w:val="21"/>
        </w:rPr>
        <w:t>;</w:t>
      </w:r>
    </w:p>
    <w:p w14:paraId="0000004A" w14:textId="75A12281" w:rsidR="00AA1640" w:rsidRPr="00427AED" w:rsidRDefault="002C0000" w:rsidP="002C4B58">
      <w:pPr>
        <w:numPr>
          <w:ilvl w:val="0"/>
          <w:numId w:val="8"/>
        </w:numPr>
        <w:pBdr>
          <w:top w:val="nil"/>
          <w:left w:val="nil"/>
          <w:bottom w:val="nil"/>
          <w:right w:val="nil"/>
          <w:between w:val="nil"/>
        </w:pBdr>
        <w:spacing w:after="0" w:line="240" w:lineRule="auto"/>
        <w:jc w:val="both"/>
        <w:rPr>
          <w:rFonts w:asciiTheme="minorHAnsi" w:eastAsia="Arial" w:hAnsiTheme="minorHAnsi" w:cs="Arial"/>
          <w:color w:val="000000"/>
          <w:sz w:val="21"/>
          <w:szCs w:val="21"/>
        </w:rPr>
      </w:pPr>
      <w:proofErr w:type="gramStart"/>
      <w:r>
        <w:rPr>
          <w:rFonts w:asciiTheme="minorHAnsi" w:hAnsiTheme="minorHAnsi"/>
          <w:color w:val="000000"/>
          <w:sz w:val="21"/>
          <w:szCs w:val="21"/>
        </w:rPr>
        <w:t>en</w:t>
      </w:r>
      <w:proofErr w:type="gramEnd"/>
      <w:r>
        <w:rPr>
          <w:rFonts w:asciiTheme="minorHAnsi" w:hAnsiTheme="minorHAnsi"/>
          <w:color w:val="000000"/>
          <w:sz w:val="21"/>
          <w:szCs w:val="21"/>
        </w:rPr>
        <w:t xml:space="preserve"> fonction de la demande de services, le prestataire de services financiers doit pouvoir ouvrir de nouveaux points de retrait avec suffisamment de liquidités</w:t>
      </w:r>
      <w:r w:rsidR="00063B2D">
        <w:rPr>
          <w:rFonts w:asciiTheme="minorHAnsi" w:hAnsiTheme="minorHAnsi"/>
          <w:color w:val="000000"/>
          <w:sz w:val="21"/>
          <w:szCs w:val="21"/>
        </w:rPr>
        <w:t> </w:t>
      </w:r>
      <w:r>
        <w:rPr>
          <w:rFonts w:asciiTheme="minorHAnsi" w:hAnsiTheme="minorHAnsi"/>
          <w:color w:val="000000"/>
          <w:sz w:val="21"/>
          <w:szCs w:val="21"/>
        </w:rPr>
        <w:t>;</w:t>
      </w:r>
    </w:p>
    <w:p w14:paraId="0EDBD281" w14:textId="08007C05" w:rsidR="00427AED" w:rsidRPr="00427AED" w:rsidRDefault="00427AED" w:rsidP="002C4B58">
      <w:pPr>
        <w:numPr>
          <w:ilvl w:val="0"/>
          <w:numId w:val="8"/>
        </w:numPr>
        <w:pBdr>
          <w:top w:val="nil"/>
          <w:left w:val="nil"/>
          <w:bottom w:val="nil"/>
          <w:right w:val="nil"/>
          <w:between w:val="nil"/>
        </w:pBdr>
        <w:spacing w:after="0" w:line="240" w:lineRule="auto"/>
        <w:jc w:val="both"/>
        <w:rPr>
          <w:rFonts w:asciiTheme="minorHAnsi" w:eastAsia="Arial" w:hAnsiTheme="minorHAnsi" w:cs="Arial"/>
          <w:color w:val="000000"/>
          <w:sz w:val="21"/>
          <w:szCs w:val="21"/>
          <w:highlight w:val="yellow"/>
        </w:rPr>
      </w:pPr>
      <w:r w:rsidRPr="00427AED">
        <w:rPr>
          <w:rFonts w:asciiTheme="minorHAnsi" w:eastAsia="Arial" w:hAnsiTheme="minorHAnsi" w:cs="Arial"/>
          <w:color w:val="000000"/>
          <w:sz w:val="21"/>
          <w:szCs w:val="21"/>
          <w:highlight w:val="yellow"/>
        </w:rPr>
        <w:t>Après chaque instruction de paiement du HCR, le prestataire de services financiers doit fournir un rapport de confirmation sur les paiements exécutés pour chaque bénéficiaire, y compris le montant payé, l'heure et le lieu du paiement.</w:t>
      </w:r>
    </w:p>
    <w:p w14:paraId="0E1FB4FF" w14:textId="6E1BDE2F" w:rsidR="00312F31" w:rsidRPr="002C4B58" w:rsidRDefault="002C0000" w:rsidP="002C4B58">
      <w:pPr>
        <w:numPr>
          <w:ilvl w:val="0"/>
          <w:numId w:val="8"/>
        </w:numPr>
        <w:pBdr>
          <w:top w:val="nil"/>
          <w:left w:val="nil"/>
          <w:bottom w:val="nil"/>
          <w:right w:val="nil"/>
          <w:between w:val="nil"/>
        </w:pBdr>
        <w:spacing w:after="0" w:line="240" w:lineRule="auto"/>
        <w:jc w:val="both"/>
        <w:rPr>
          <w:rFonts w:asciiTheme="minorHAnsi" w:eastAsia="Arial" w:hAnsiTheme="minorHAnsi" w:cs="Arial"/>
          <w:color w:val="000000"/>
          <w:sz w:val="21"/>
          <w:szCs w:val="21"/>
        </w:rPr>
      </w:pPr>
      <w:proofErr w:type="gramStart"/>
      <w:r>
        <w:rPr>
          <w:rFonts w:asciiTheme="minorHAnsi" w:hAnsiTheme="minorHAnsi"/>
          <w:color w:val="000000"/>
          <w:sz w:val="21"/>
          <w:szCs w:val="21"/>
        </w:rPr>
        <w:t>le</w:t>
      </w:r>
      <w:proofErr w:type="gramEnd"/>
      <w:r>
        <w:rPr>
          <w:rFonts w:asciiTheme="minorHAnsi" w:hAnsiTheme="minorHAnsi"/>
          <w:color w:val="000000"/>
          <w:sz w:val="21"/>
          <w:szCs w:val="21"/>
        </w:rPr>
        <w:t xml:space="preserve"> prestataire de services financiers doit réduire le solde de chaque compte si les bénéficiaires effectuent des retraits</w:t>
      </w:r>
      <w:sdt>
        <w:sdtPr>
          <w:rPr>
            <w:rFonts w:asciiTheme="minorHAnsi" w:hAnsiTheme="minorHAnsi"/>
            <w:sz w:val="21"/>
            <w:szCs w:val="21"/>
          </w:rPr>
          <w:tag w:val="goog_rdk_2"/>
          <w:id w:val="1206676156"/>
        </w:sdtPr>
        <w:sdtContent>
          <w:r>
            <w:rPr>
              <w:rFonts w:asciiTheme="minorHAnsi" w:hAnsiTheme="minorHAnsi"/>
              <w:color w:val="000000"/>
              <w:sz w:val="21"/>
              <w:szCs w:val="21"/>
            </w:rPr>
            <w:t>,</w:t>
          </w:r>
        </w:sdtContent>
      </w:sdt>
      <w:r>
        <w:rPr>
          <w:rFonts w:asciiTheme="minorHAnsi" w:hAnsiTheme="minorHAnsi"/>
          <w:color w:val="000000"/>
          <w:sz w:val="21"/>
          <w:szCs w:val="21"/>
        </w:rPr>
        <w:t xml:space="preserve"> des achats ou d’autres transactions à l’aide des fonds disponibles sur leur compte.</w:t>
      </w:r>
      <w:r w:rsidR="00063B2D">
        <w:rPr>
          <w:rFonts w:asciiTheme="minorHAnsi" w:hAnsiTheme="minorHAnsi"/>
          <w:color w:val="000000"/>
          <w:sz w:val="21"/>
          <w:szCs w:val="21"/>
        </w:rPr>
        <w:t xml:space="preserve"> </w:t>
      </w:r>
      <w:r>
        <w:rPr>
          <w:rFonts w:asciiTheme="minorHAnsi" w:hAnsiTheme="minorHAnsi"/>
          <w:color w:val="000000"/>
          <w:sz w:val="21"/>
          <w:szCs w:val="21"/>
        </w:rPr>
        <w:t>Le solde du compte représente le total des montants qui n’ont pas été reçus/utilisés par les bénéficiaires</w:t>
      </w:r>
      <w:r w:rsidR="00063B2D">
        <w:rPr>
          <w:rFonts w:asciiTheme="minorHAnsi" w:hAnsiTheme="minorHAnsi"/>
          <w:color w:val="000000"/>
          <w:sz w:val="21"/>
          <w:szCs w:val="21"/>
        </w:rPr>
        <w:t> </w:t>
      </w:r>
      <w:r>
        <w:rPr>
          <w:rFonts w:asciiTheme="minorHAnsi" w:hAnsiTheme="minorHAnsi"/>
          <w:color w:val="000000"/>
          <w:sz w:val="21"/>
          <w:szCs w:val="21"/>
        </w:rPr>
        <w:t>;</w:t>
      </w:r>
    </w:p>
    <w:p w14:paraId="635A4C24" w14:textId="1272B1DC" w:rsidR="00312F31" w:rsidRPr="002C4B58" w:rsidRDefault="002C0000" w:rsidP="002C4B58">
      <w:pPr>
        <w:numPr>
          <w:ilvl w:val="0"/>
          <w:numId w:val="8"/>
        </w:numPr>
        <w:pBdr>
          <w:top w:val="nil"/>
          <w:left w:val="nil"/>
          <w:bottom w:val="nil"/>
          <w:right w:val="nil"/>
          <w:between w:val="nil"/>
        </w:pBdr>
        <w:spacing w:after="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le prestataire de services financiers doit s’assurer que des voies de communication accessibles et confidentielles soient établies pour garantir que les bénéficiaires puissent demander et/ou signaler les problèmes de service ou les réclamations</w:t>
      </w:r>
      <w:r w:rsidR="00063B2D">
        <w:rPr>
          <w:rFonts w:asciiTheme="minorHAnsi" w:hAnsiTheme="minorHAnsi"/>
          <w:color w:val="000000"/>
          <w:sz w:val="21"/>
          <w:szCs w:val="21"/>
        </w:rPr>
        <w:t> </w:t>
      </w:r>
      <w:r>
        <w:rPr>
          <w:rFonts w:asciiTheme="minorHAnsi" w:hAnsiTheme="minorHAnsi"/>
          <w:color w:val="000000"/>
          <w:sz w:val="21"/>
          <w:szCs w:val="21"/>
        </w:rPr>
        <w:t>;</w:t>
      </w:r>
    </w:p>
    <w:p w14:paraId="1F014907" w14:textId="73267B97" w:rsidR="00807C77" w:rsidRPr="00BF62E0" w:rsidRDefault="00AA1B4A" w:rsidP="002C4B58">
      <w:pPr>
        <w:numPr>
          <w:ilvl w:val="0"/>
          <w:numId w:val="8"/>
        </w:numPr>
        <w:pBdr>
          <w:top w:val="nil"/>
          <w:left w:val="nil"/>
          <w:bottom w:val="nil"/>
          <w:right w:val="nil"/>
          <w:between w:val="nil"/>
        </w:pBdr>
        <w:spacing w:after="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 xml:space="preserve">Chaque transaction (c’est-à-dire distribution de cartes, paiement/retrait) associée à un bénéficiaire individuel doit être enregistrée individuellement et documentée par le prestataire de services financiers, en fournissant tous les détails pertinents du transfert. Il convient d’inclure un </w:t>
      </w:r>
      <w:r>
        <w:rPr>
          <w:rFonts w:asciiTheme="minorHAnsi" w:hAnsiTheme="minorHAnsi"/>
          <w:color w:val="000000"/>
          <w:sz w:val="21"/>
          <w:szCs w:val="21"/>
        </w:rPr>
        <w:lastRenderedPageBreak/>
        <w:t>enregistrement de la vérification de l’identité de la personne (c’est-à-dire signature, image des éléments biométriques ou PIN) exécutant la transaction.</w:t>
      </w:r>
    </w:p>
    <w:p w14:paraId="0AAC4581" w14:textId="77777777" w:rsidR="00312F31" w:rsidRPr="00BF62E0" w:rsidRDefault="00312F31" w:rsidP="00312F31">
      <w:pPr>
        <w:pBdr>
          <w:top w:val="nil"/>
          <w:left w:val="nil"/>
          <w:bottom w:val="nil"/>
          <w:right w:val="nil"/>
          <w:between w:val="nil"/>
        </w:pBdr>
        <w:spacing w:after="0" w:line="240" w:lineRule="auto"/>
        <w:ind w:left="720"/>
        <w:jc w:val="both"/>
        <w:rPr>
          <w:rFonts w:asciiTheme="minorHAnsi" w:eastAsia="Arial" w:hAnsiTheme="minorHAnsi" w:cs="Arial"/>
          <w:color w:val="000000"/>
          <w:sz w:val="21"/>
          <w:szCs w:val="21"/>
        </w:rPr>
      </w:pPr>
    </w:p>
    <w:p w14:paraId="00000050" w14:textId="1913F4A5" w:rsidR="00AA1640" w:rsidRDefault="000D3147">
      <w:pPr>
        <w:spacing w:after="0"/>
        <w:jc w:val="both"/>
        <w:rPr>
          <w:rFonts w:asciiTheme="minorHAnsi" w:hAnsiTheme="minorHAnsi"/>
          <w:sz w:val="21"/>
          <w:szCs w:val="21"/>
        </w:rPr>
      </w:pPr>
      <w:r>
        <w:rPr>
          <w:rFonts w:asciiTheme="minorHAnsi" w:hAnsiTheme="minorHAnsi"/>
          <w:sz w:val="21"/>
          <w:szCs w:val="21"/>
          <w:u w:val="single"/>
        </w:rPr>
        <w:t>Les normes applicables aux mécanismes d’exécution spécifiques</w:t>
      </w:r>
      <w:r>
        <w:rPr>
          <w:rFonts w:asciiTheme="minorHAnsi" w:hAnsiTheme="minorHAnsi"/>
          <w:sz w:val="21"/>
          <w:szCs w:val="21"/>
        </w:rPr>
        <w:t xml:space="preserve">, pour lesquelles il est précisé si elles sont </w:t>
      </w:r>
      <w:r>
        <w:rPr>
          <w:rFonts w:asciiTheme="minorHAnsi" w:hAnsiTheme="minorHAnsi"/>
          <w:sz w:val="21"/>
          <w:szCs w:val="21"/>
          <w:u w:val="single"/>
        </w:rPr>
        <w:t>obligatoires ou recommandées</w:t>
      </w:r>
      <w:r>
        <w:rPr>
          <w:rFonts w:asciiTheme="minorHAnsi" w:hAnsiTheme="minorHAnsi"/>
          <w:sz w:val="21"/>
          <w:szCs w:val="21"/>
        </w:rPr>
        <w:t>, sont détaillées dans le tableau ci-après :</w:t>
      </w:r>
    </w:p>
    <w:p w14:paraId="39D0DEA0" w14:textId="77777777" w:rsidR="00FD17D7" w:rsidRPr="00BF62E0" w:rsidRDefault="00FD17D7">
      <w:pPr>
        <w:spacing w:after="0"/>
        <w:jc w:val="both"/>
        <w:rPr>
          <w:rFonts w:asciiTheme="minorHAnsi" w:eastAsia="Arial" w:hAnsiTheme="minorHAnsi" w:cs="Arial"/>
          <w:sz w:val="21"/>
          <w:szCs w:val="21"/>
        </w:rPr>
      </w:pPr>
    </w:p>
    <w:tbl>
      <w:tblPr>
        <w:tblStyle w:val="Grilledutableau"/>
        <w:tblW w:w="0" w:type="auto"/>
        <w:tblLook w:val="04A0" w:firstRow="1" w:lastRow="0" w:firstColumn="1" w:lastColumn="0" w:noHBand="0" w:noVBand="1"/>
      </w:tblPr>
      <w:tblGrid>
        <w:gridCol w:w="1269"/>
        <w:gridCol w:w="6383"/>
        <w:gridCol w:w="1344"/>
      </w:tblGrid>
      <w:tr w:rsidR="00C23A8C" w14:paraId="02134635" w14:textId="77777777" w:rsidTr="00443B70">
        <w:tc>
          <w:tcPr>
            <w:tcW w:w="1269" w:type="dxa"/>
            <w:tcBorders>
              <w:top w:val="single" w:sz="8" w:space="0" w:color="auto"/>
              <w:left w:val="single" w:sz="12" w:space="0" w:color="auto"/>
              <w:bottom w:val="single" w:sz="4" w:space="0" w:color="auto"/>
            </w:tcBorders>
            <w:shd w:val="clear" w:color="auto" w:fill="F2F2F2" w:themeFill="background1" w:themeFillShade="F2"/>
            <w:vAlign w:val="center"/>
          </w:tcPr>
          <w:p w14:paraId="4AFA826A" w14:textId="1FB7A194" w:rsidR="00312F31" w:rsidRPr="00BF62E0" w:rsidRDefault="00312F31" w:rsidP="00C20F6F">
            <w:pPr>
              <w:jc w:val="center"/>
              <w:rPr>
                <w:rFonts w:asciiTheme="minorHAnsi" w:eastAsia="Arial" w:hAnsiTheme="minorHAnsi" w:cs="Arial"/>
                <w:b/>
                <w:sz w:val="21"/>
                <w:szCs w:val="21"/>
              </w:rPr>
            </w:pPr>
            <w:r>
              <w:rPr>
                <w:rFonts w:asciiTheme="minorHAnsi" w:hAnsiTheme="minorHAnsi"/>
                <w:b/>
                <w:color w:val="000000"/>
                <w:sz w:val="18"/>
                <w:szCs w:val="18"/>
              </w:rPr>
              <w:t>Mécanisme de transfert</w:t>
            </w:r>
          </w:p>
        </w:tc>
        <w:tc>
          <w:tcPr>
            <w:tcW w:w="6383" w:type="dxa"/>
            <w:tcBorders>
              <w:top w:val="single" w:sz="8" w:space="0" w:color="auto"/>
              <w:bottom w:val="single" w:sz="4" w:space="0" w:color="auto"/>
            </w:tcBorders>
            <w:shd w:val="clear" w:color="auto" w:fill="F2F2F2" w:themeFill="background1" w:themeFillShade="F2"/>
            <w:vAlign w:val="center"/>
          </w:tcPr>
          <w:p w14:paraId="0769F1EE" w14:textId="42B8289C" w:rsidR="00312F31" w:rsidRPr="00BF62E0" w:rsidRDefault="00312F31" w:rsidP="004E79C2">
            <w:pPr>
              <w:jc w:val="center"/>
              <w:rPr>
                <w:rFonts w:asciiTheme="minorHAnsi" w:eastAsia="Arial" w:hAnsiTheme="minorHAnsi" w:cs="Arial"/>
                <w:b/>
                <w:sz w:val="21"/>
                <w:szCs w:val="21"/>
              </w:rPr>
            </w:pPr>
            <w:r>
              <w:rPr>
                <w:rFonts w:asciiTheme="minorHAnsi" w:hAnsiTheme="minorHAnsi"/>
                <w:b/>
                <w:sz w:val="18"/>
                <w:szCs w:val="18"/>
              </w:rPr>
              <w:t>Normes</w:t>
            </w:r>
            <w:r>
              <w:rPr>
                <w:rFonts w:asciiTheme="minorHAnsi" w:hAnsiTheme="minorHAnsi"/>
                <w:b/>
                <w:i/>
                <w:sz w:val="18"/>
                <w:szCs w:val="18"/>
              </w:rPr>
              <w:t xml:space="preserve"> </w:t>
            </w:r>
            <w:r>
              <w:rPr>
                <w:rFonts w:asciiTheme="minorHAnsi" w:hAnsiTheme="minorHAnsi"/>
                <w:i/>
                <w:color w:val="C00000"/>
                <w:sz w:val="16"/>
                <w:szCs w:val="16"/>
              </w:rPr>
              <w:t>(les responsables des opérations doivent non seulement compléter ou réviser les normes si nécessaire, mais aussi préciser les normes obligatoires (évaluation de réussite/échec) et celles recommandées (évaluation numérique). Toute modification doit être reflétée dans l’annexe B et dans le mémorandum à destination des prestataires de services financiers.)</w:t>
            </w:r>
          </w:p>
        </w:tc>
        <w:tc>
          <w:tcPr>
            <w:tcW w:w="1344" w:type="dxa"/>
            <w:tcBorders>
              <w:top w:val="single" w:sz="8" w:space="0" w:color="auto"/>
              <w:bottom w:val="single" w:sz="4" w:space="0" w:color="auto"/>
              <w:right w:val="single" w:sz="12" w:space="0" w:color="auto"/>
            </w:tcBorders>
            <w:shd w:val="clear" w:color="auto" w:fill="F2F2F2" w:themeFill="background1" w:themeFillShade="F2"/>
            <w:vAlign w:val="center"/>
          </w:tcPr>
          <w:p w14:paraId="0672EDA3" w14:textId="7881F47F" w:rsidR="00312F31" w:rsidRPr="00C23A8C" w:rsidRDefault="00312F31" w:rsidP="00C20F6F">
            <w:pPr>
              <w:jc w:val="center"/>
              <w:rPr>
                <w:rFonts w:asciiTheme="minorHAnsi" w:eastAsia="Arial" w:hAnsiTheme="minorHAnsi" w:cs="Arial"/>
                <w:b/>
                <w:color w:val="C00000"/>
                <w:sz w:val="18"/>
                <w:szCs w:val="18"/>
              </w:rPr>
            </w:pPr>
            <w:r>
              <w:rPr>
                <w:rFonts w:asciiTheme="minorHAnsi" w:hAnsiTheme="minorHAnsi"/>
                <w:b/>
                <w:sz w:val="18"/>
                <w:szCs w:val="18"/>
              </w:rPr>
              <w:t xml:space="preserve">Obligatoire ou recommandée </w:t>
            </w:r>
            <w:r>
              <w:rPr>
                <w:rFonts w:asciiTheme="minorHAnsi" w:hAnsiTheme="minorHAnsi"/>
                <w:i/>
                <w:color w:val="C00000"/>
                <w:sz w:val="16"/>
                <w:szCs w:val="16"/>
              </w:rPr>
              <w:t>(à compléter par les responsables des opérations)</w:t>
            </w:r>
          </w:p>
        </w:tc>
      </w:tr>
      <w:tr w:rsidR="007E2E7B" w14:paraId="0B3B9620" w14:textId="77777777" w:rsidTr="00A46B2A">
        <w:tc>
          <w:tcPr>
            <w:tcW w:w="1269" w:type="dxa"/>
            <w:vMerge w:val="restart"/>
            <w:tcBorders>
              <w:top w:val="single" w:sz="4" w:space="0" w:color="auto"/>
              <w:left w:val="single" w:sz="4" w:space="0" w:color="auto"/>
              <w:right w:val="single" w:sz="4" w:space="0" w:color="auto"/>
            </w:tcBorders>
            <w:vAlign w:val="center"/>
          </w:tcPr>
          <w:p w14:paraId="38791760" w14:textId="321101A3" w:rsidR="007E2E7B" w:rsidRPr="00660404" w:rsidRDefault="007E2E7B" w:rsidP="00C20F6F">
            <w:pPr>
              <w:jc w:val="center"/>
              <w:rPr>
                <w:rFonts w:asciiTheme="minorHAnsi" w:eastAsia="Arial" w:hAnsiTheme="minorHAnsi" w:cs="Arial"/>
                <w:b/>
                <w:sz w:val="21"/>
                <w:szCs w:val="21"/>
              </w:rPr>
            </w:pPr>
            <w:r>
              <w:rPr>
                <w:rFonts w:asciiTheme="minorHAnsi" w:hAnsiTheme="minorHAnsi"/>
                <w:b/>
                <w:color w:val="000000"/>
                <w:sz w:val="18"/>
                <w:szCs w:val="18"/>
              </w:rPr>
              <w:t xml:space="preserve">Transfert vers le compte bancaire </w:t>
            </w:r>
          </w:p>
        </w:tc>
        <w:tc>
          <w:tcPr>
            <w:tcW w:w="6383" w:type="dxa"/>
            <w:tcBorders>
              <w:top w:val="single" w:sz="4" w:space="0" w:color="auto"/>
              <w:left w:val="single" w:sz="4" w:space="0" w:color="auto"/>
              <w:bottom w:val="single" w:sz="4" w:space="0" w:color="auto"/>
            </w:tcBorders>
          </w:tcPr>
          <w:p w14:paraId="18829998" w14:textId="424910CE" w:rsidR="007E2E7B" w:rsidRPr="00FC65B4" w:rsidRDefault="00FC65B4" w:rsidP="00FC65B4">
            <w:pPr>
              <w:jc w:val="both"/>
              <w:rPr>
                <w:rFonts w:asciiTheme="minorHAnsi" w:hAnsiTheme="minorHAnsi"/>
                <w:color w:val="000000"/>
                <w:sz w:val="20"/>
                <w:szCs w:val="20"/>
                <w:highlight w:val="yellow"/>
              </w:rPr>
            </w:pPr>
            <w:r w:rsidRPr="00FC65B4">
              <w:rPr>
                <w:rFonts w:asciiTheme="minorHAnsi" w:hAnsiTheme="minorHAnsi"/>
                <w:color w:val="000000"/>
                <w:sz w:val="20"/>
                <w:szCs w:val="20"/>
                <w:highlight w:val="yellow"/>
              </w:rPr>
              <w:t xml:space="preserve">1) </w:t>
            </w:r>
            <w:r w:rsidR="00AD3B6B" w:rsidRPr="00FC65B4">
              <w:rPr>
                <w:rFonts w:asciiTheme="minorHAnsi" w:hAnsiTheme="minorHAnsi"/>
                <w:color w:val="000000"/>
                <w:sz w:val="20"/>
                <w:szCs w:val="20"/>
                <w:highlight w:val="yellow"/>
              </w:rPr>
              <w:t>Un compte bancaire/financier qui permet au bénéficiaire d'effectuer des retraits à tout moment sans frais de transaction ;</w:t>
            </w:r>
          </w:p>
        </w:tc>
        <w:tc>
          <w:tcPr>
            <w:tcW w:w="1344" w:type="dxa"/>
            <w:tcBorders>
              <w:top w:val="single" w:sz="4" w:space="0" w:color="auto"/>
              <w:bottom w:val="single" w:sz="4" w:space="0" w:color="auto"/>
              <w:right w:val="single" w:sz="4" w:space="0" w:color="auto"/>
            </w:tcBorders>
            <w:vAlign w:val="center"/>
          </w:tcPr>
          <w:p w14:paraId="654B0CEC" w14:textId="40DCF6F1" w:rsidR="007E2E7B" w:rsidRPr="004D7416" w:rsidRDefault="008D331C" w:rsidP="00312F31">
            <w:pPr>
              <w:jc w:val="center"/>
              <w:rPr>
                <w:rFonts w:asciiTheme="minorHAnsi" w:eastAsia="Arial" w:hAnsiTheme="minorHAnsi" w:cs="Arial"/>
                <w:color w:val="1F4E79" w:themeColor="accent1" w:themeShade="80"/>
                <w:sz w:val="20"/>
                <w:szCs w:val="20"/>
              </w:rPr>
            </w:pPr>
            <w:r w:rsidRPr="008D331C">
              <w:rPr>
                <w:rFonts w:asciiTheme="minorHAnsi" w:eastAsia="Arial" w:hAnsiTheme="minorHAnsi" w:cs="Arial"/>
                <w:color w:val="1F4E79" w:themeColor="accent1" w:themeShade="80"/>
                <w:sz w:val="20"/>
                <w:szCs w:val="20"/>
              </w:rPr>
              <w:t>Obligatoire</w:t>
            </w:r>
          </w:p>
        </w:tc>
      </w:tr>
      <w:tr w:rsidR="007E2E7B" w14:paraId="6F788BBE" w14:textId="77777777" w:rsidTr="00A46B2A">
        <w:trPr>
          <w:trHeight w:val="682"/>
        </w:trPr>
        <w:tc>
          <w:tcPr>
            <w:tcW w:w="1269" w:type="dxa"/>
            <w:vMerge/>
            <w:tcBorders>
              <w:left w:val="single" w:sz="4" w:space="0" w:color="auto"/>
              <w:right w:val="single" w:sz="4" w:space="0" w:color="auto"/>
            </w:tcBorders>
            <w:vAlign w:val="center"/>
          </w:tcPr>
          <w:p w14:paraId="12413F81" w14:textId="77777777" w:rsidR="007E2E7B" w:rsidRDefault="007E2E7B" w:rsidP="00C20F6F">
            <w:pPr>
              <w:jc w:val="center"/>
              <w:rPr>
                <w:rFonts w:asciiTheme="minorHAnsi" w:hAnsiTheme="minorHAnsi"/>
                <w:b/>
                <w:color w:val="000000"/>
                <w:sz w:val="18"/>
                <w:szCs w:val="18"/>
              </w:rPr>
            </w:pPr>
          </w:p>
        </w:tc>
        <w:tc>
          <w:tcPr>
            <w:tcW w:w="6383" w:type="dxa"/>
            <w:tcBorders>
              <w:top w:val="single" w:sz="4" w:space="0" w:color="auto"/>
              <w:left w:val="single" w:sz="4" w:space="0" w:color="auto"/>
              <w:bottom w:val="single" w:sz="4" w:space="0" w:color="auto"/>
            </w:tcBorders>
          </w:tcPr>
          <w:p w14:paraId="6C2DF1DB" w14:textId="47C4D7BE" w:rsidR="007E2E7B" w:rsidRPr="00FC65B4" w:rsidRDefault="00FC65B4" w:rsidP="00FC65B4">
            <w:pPr>
              <w:jc w:val="both"/>
              <w:rPr>
                <w:rFonts w:asciiTheme="minorHAnsi" w:hAnsiTheme="minorHAnsi"/>
                <w:color w:val="000000"/>
                <w:sz w:val="20"/>
                <w:szCs w:val="20"/>
                <w:highlight w:val="yellow"/>
              </w:rPr>
            </w:pPr>
            <w:r w:rsidRPr="00FC65B4">
              <w:rPr>
                <w:rFonts w:asciiTheme="minorHAnsi" w:hAnsiTheme="minorHAnsi"/>
                <w:color w:val="000000"/>
                <w:sz w:val="20"/>
                <w:szCs w:val="20"/>
                <w:highlight w:val="yellow"/>
              </w:rPr>
              <w:t xml:space="preserve">2) </w:t>
            </w:r>
            <w:r w:rsidR="001C54F3" w:rsidRPr="00FC65B4">
              <w:rPr>
                <w:rFonts w:asciiTheme="minorHAnsi" w:hAnsiTheme="minorHAnsi"/>
                <w:color w:val="000000"/>
                <w:sz w:val="20"/>
                <w:szCs w:val="20"/>
                <w:highlight w:val="yellow"/>
              </w:rPr>
              <w:t>Un processus de retrait simplifié dans toutes les agences de la banque en Mauritanie après vérification de l'identité du bénéficiaire ;</w:t>
            </w:r>
          </w:p>
        </w:tc>
        <w:tc>
          <w:tcPr>
            <w:tcW w:w="1344" w:type="dxa"/>
            <w:tcBorders>
              <w:top w:val="single" w:sz="4" w:space="0" w:color="auto"/>
              <w:bottom w:val="single" w:sz="4" w:space="0" w:color="auto"/>
              <w:right w:val="single" w:sz="4" w:space="0" w:color="auto"/>
            </w:tcBorders>
            <w:vAlign w:val="center"/>
          </w:tcPr>
          <w:p w14:paraId="39A44F07" w14:textId="6F280E17" w:rsidR="007E2E7B" w:rsidRPr="004D7416" w:rsidRDefault="001D5F3C" w:rsidP="00312F31">
            <w:pPr>
              <w:jc w:val="center"/>
              <w:rPr>
                <w:rFonts w:asciiTheme="minorHAnsi" w:eastAsia="Arial" w:hAnsiTheme="minorHAnsi" w:cs="Arial"/>
                <w:color w:val="1F4E79" w:themeColor="accent1" w:themeShade="80"/>
                <w:sz w:val="20"/>
                <w:szCs w:val="20"/>
              </w:rPr>
            </w:pPr>
            <w:r w:rsidRPr="001D5F3C">
              <w:rPr>
                <w:rFonts w:asciiTheme="minorHAnsi" w:eastAsia="Arial" w:hAnsiTheme="minorHAnsi" w:cs="Arial"/>
                <w:color w:val="1F4E79" w:themeColor="accent1" w:themeShade="80"/>
                <w:sz w:val="20"/>
                <w:szCs w:val="20"/>
              </w:rPr>
              <w:t>Obligatoire</w:t>
            </w:r>
          </w:p>
        </w:tc>
      </w:tr>
      <w:tr w:rsidR="007E2E7B" w14:paraId="42A8C7AE" w14:textId="77777777" w:rsidTr="00A46B2A">
        <w:tc>
          <w:tcPr>
            <w:tcW w:w="1269" w:type="dxa"/>
            <w:vMerge/>
            <w:tcBorders>
              <w:left w:val="single" w:sz="4" w:space="0" w:color="auto"/>
              <w:right w:val="single" w:sz="4" w:space="0" w:color="auto"/>
            </w:tcBorders>
            <w:vAlign w:val="center"/>
          </w:tcPr>
          <w:p w14:paraId="7E69B86A" w14:textId="77777777" w:rsidR="007E2E7B" w:rsidRDefault="007E2E7B" w:rsidP="00C20F6F">
            <w:pPr>
              <w:jc w:val="center"/>
              <w:rPr>
                <w:rFonts w:asciiTheme="minorHAnsi" w:hAnsiTheme="minorHAnsi"/>
                <w:b/>
                <w:color w:val="000000"/>
                <w:sz w:val="18"/>
                <w:szCs w:val="18"/>
              </w:rPr>
            </w:pPr>
          </w:p>
        </w:tc>
        <w:tc>
          <w:tcPr>
            <w:tcW w:w="6383" w:type="dxa"/>
            <w:tcBorders>
              <w:top w:val="single" w:sz="4" w:space="0" w:color="auto"/>
              <w:left w:val="single" w:sz="4" w:space="0" w:color="auto"/>
              <w:bottom w:val="single" w:sz="4" w:space="0" w:color="auto"/>
            </w:tcBorders>
          </w:tcPr>
          <w:p w14:paraId="38D4C5A7" w14:textId="3B49B402" w:rsidR="007E2E7B" w:rsidRPr="00FC65B4" w:rsidRDefault="00FC65B4" w:rsidP="00FC65B4">
            <w:pPr>
              <w:jc w:val="both"/>
              <w:rPr>
                <w:rFonts w:asciiTheme="minorHAnsi" w:hAnsiTheme="minorHAnsi"/>
                <w:color w:val="000000"/>
                <w:sz w:val="20"/>
                <w:szCs w:val="20"/>
                <w:highlight w:val="yellow"/>
              </w:rPr>
            </w:pPr>
            <w:r w:rsidRPr="00FC65B4">
              <w:rPr>
                <w:rFonts w:asciiTheme="minorHAnsi" w:hAnsiTheme="minorHAnsi"/>
                <w:color w:val="000000"/>
                <w:sz w:val="20"/>
                <w:szCs w:val="20"/>
                <w:highlight w:val="yellow"/>
              </w:rPr>
              <w:t xml:space="preserve">3) </w:t>
            </w:r>
            <w:r w:rsidR="001C54F3" w:rsidRPr="00FC65B4">
              <w:rPr>
                <w:rFonts w:asciiTheme="minorHAnsi" w:hAnsiTheme="minorHAnsi"/>
                <w:color w:val="000000"/>
                <w:sz w:val="20"/>
                <w:szCs w:val="20"/>
                <w:highlight w:val="yellow"/>
              </w:rPr>
              <w:t>Développer un système simple d'identification/enrôlement des bénéficiaires qui prend en compte les documents d'identification des réfugiés et des demandeurs d'asile, en particulier les cartes d'identité des réfugiés, l'attestation de réfugié et l'attestation de demande d'asile.</w:t>
            </w:r>
          </w:p>
        </w:tc>
        <w:tc>
          <w:tcPr>
            <w:tcW w:w="1344" w:type="dxa"/>
            <w:tcBorders>
              <w:top w:val="single" w:sz="4" w:space="0" w:color="auto"/>
              <w:bottom w:val="single" w:sz="4" w:space="0" w:color="auto"/>
              <w:right w:val="single" w:sz="4" w:space="0" w:color="auto"/>
            </w:tcBorders>
            <w:vAlign w:val="center"/>
          </w:tcPr>
          <w:p w14:paraId="55AF56FB" w14:textId="100DEABB" w:rsidR="007E2E7B" w:rsidRPr="004D7416" w:rsidRDefault="00E40F86" w:rsidP="00312F31">
            <w:pPr>
              <w:jc w:val="center"/>
              <w:rPr>
                <w:rFonts w:asciiTheme="minorHAnsi" w:eastAsia="Arial" w:hAnsiTheme="minorHAnsi" w:cs="Arial"/>
                <w:color w:val="1F4E79" w:themeColor="accent1" w:themeShade="80"/>
                <w:sz w:val="20"/>
                <w:szCs w:val="20"/>
              </w:rPr>
            </w:pPr>
            <w:r w:rsidRPr="00E40F86">
              <w:rPr>
                <w:rFonts w:asciiTheme="minorHAnsi" w:eastAsia="Arial" w:hAnsiTheme="minorHAnsi" w:cs="Arial"/>
                <w:color w:val="1F4E79" w:themeColor="accent1" w:themeShade="80"/>
                <w:sz w:val="20"/>
                <w:szCs w:val="20"/>
              </w:rPr>
              <w:t>Obligatoire</w:t>
            </w:r>
          </w:p>
        </w:tc>
      </w:tr>
      <w:tr w:rsidR="007E2E7B" w14:paraId="5CE312E6" w14:textId="77777777" w:rsidTr="00A46B2A">
        <w:tc>
          <w:tcPr>
            <w:tcW w:w="1269" w:type="dxa"/>
            <w:vMerge/>
            <w:tcBorders>
              <w:left w:val="single" w:sz="4" w:space="0" w:color="auto"/>
              <w:right w:val="single" w:sz="4" w:space="0" w:color="auto"/>
            </w:tcBorders>
            <w:vAlign w:val="center"/>
          </w:tcPr>
          <w:p w14:paraId="1316FD7B" w14:textId="77777777" w:rsidR="007E2E7B" w:rsidRDefault="007E2E7B" w:rsidP="00C20F6F">
            <w:pPr>
              <w:jc w:val="center"/>
              <w:rPr>
                <w:rFonts w:asciiTheme="minorHAnsi" w:hAnsiTheme="minorHAnsi"/>
                <w:b/>
                <w:color w:val="000000"/>
                <w:sz w:val="18"/>
                <w:szCs w:val="18"/>
              </w:rPr>
            </w:pPr>
          </w:p>
        </w:tc>
        <w:tc>
          <w:tcPr>
            <w:tcW w:w="6383" w:type="dxa"/>
            <w:tcBorders>
              <w:top w:val="single" w:sz="4" w:space="0" w:color="auto"/>
              <w:left w:val="single" w:sz="4" w:space="0" w:color="auto"/>
              <w:bottom w:val="single" w:sz="4" w:space="0" w:color="auto"/>
            </w:tcBorders>
          </w:tcPr>
          <w:p w14:paraId="74070743" w14:textId="25B8BD7A" w:rsidR="007E2E7B" w:rsidRPr="00FC65B4" w:rsidRDefault="00FC65B4" w:rsidP="00FC65B4">
            <w:pPr>
              <w:jc w:val="both"/>
              <w:rPr>
                <w:rFonts w:asciiTheme="minorHAnsi" w:hAnsiTheme="minorHAnsi"/>
                <w:color w:val="000000"/>
                <w:sz w:val="20"/>
                <w:szCs w:val="20"/>
                <w:highlight w:val="yellow"/>
              </w:rPr>
            </w:pPr>
            <w:r w:rsidRPr="00FC65B4">
              <w:rPr>
                <w:rFonts w:asciiTheme="minorHAnsi" w:hAnsiTheme="minorHAnsi"/>
                <w:color w:val="000000"/>
                <w:sz w:val="20"/>
                <w:szCs w:val="20"/>
                <w:highlight w:val="yellow"/>
              </w:rPr>
              <w:t xml:space="preserve">4)  </w:t>
            </w:r>
            <w:r w:rsidR="001C54F3" w:rsidRPr="00FC65B4">
              <w:rPr>
                <w:rFonts w:asciiTheme="minorHAnsi" w:hAnsiTheme="minorHAnsi"/>
                <w:color w:val="000000"/>
                <w:sz w:val="20"/>
                <w:szCs w:val="20"/>
                <w:highlight w:val="yellow"/>
              </w:rPr>
              <w:t>La reconstitution des comptes des bénéficiaires par le HCR.</w:t>
            </w:r>
          </w:p>
        </w:tc>
        <w:tc>
          <w:tcPr>
            <w:tcW w:w="1344" w:type="dxa"/>
            <w:tcBorders>
              <w:top w:val="single" w:sz="4" w:space="0" w:color="auto"/>
              <w:bottom w:val="single" w:sz="4" w:space="0" w:color="auto"/>
              <w:right w:val="single" w:sz="4" w:space="0" w:color="auto"/>
            </w:tcBorders>
            <w:vAlign w:val="center"/>
          </w:tcPr>
          <w:p w14:paraId="4CAE7C4A" w14:textId="5DD2DAC6" w:rsidR="007E2E7B" w:rsidRPr="004D7416" w:rsidRDefault="00E40F86" w:rsidP="00312F31">
            <w:pPr>
              <w:jc w:val="center"/>
              <w:rPr>
                <w:rFonts w:asciiTheme="minorHAnsi" w:eastAsia="Arial" w:hAnsiTheme="minorHAnsi" w:cs="Arial"/>
                <w:color w:val="1F4E79" w:themeColor="accent1" w:themeShade="80"/>
                <w:sz w:val="20"/>
                <w:szCs w:val="20"/>
              </w:rPr>
            </w:pPr>
            <w:r w:rsidRPr="00E40F86">
              <w:rPr>
                <w:rFonts w:asciiTheme="minorHAnsi" w:eastAsia="Arial" w:hAnsiTheme="minorHAnsi" w:cs="Arial"/>
                <w:color w:val="1F4E79" w:themeColor="accent1" w:themeShade="80"/>
                <w:sz w:val="20"/>
                <w:szCs w:val="20"/>
              </w:rPr>
              <w:t>Obligatoire</w:t>
            </w:r>
          </w:p>
        </w:tc>
      </w:tr>
      <w:tr w:rsidR="007E2E7B" w14:paraId="4C2BF0D2" w14:textId="77777777" w:rsidTr="00A46B2A">
        <w:trPr>
          <w:trHeight w:val="439"/>
        </w:trPr>
        <w:tc>
          <w:tcPr>
            <w:tcW w:w="1269" w:type="dxa"/>
            <w:vMerge/>
            <w:tcBorders>
              <w:left w:val="single" w:sz="4" w:space="0" w:color="auto"/>
              <w:bottom w:val="single" w:sz="4" w:space="0" w:color="auto"/>
              <w:right w:val="single" w:sz="4" w:space="0" w:color="auto"/>
            </w:tcBorders>
            <w:vAlign w:val="center"/>
          </w:tcPr>
          <w:p w14:paraId="3EEC15F5" w14:textId="77777777" w:rsidR="007E2E7B" w:rsidRDefault="007E2E7B" w:rsidP="00C20F6F">
            <w:pPr>
              <w:jc w:val="center"/>
              <w:rPr>
                <w:rFonts w:asciiTheme="minorHAnsi" w:hAnsiTheme="minorHAnsi"/>
                <w:b/>
                <w:color w:val="000000"/>
                <w:sz w:val="18"/>
                <w:szCs w:val="18"/>
              </w:rPr>
            </w:pPr>
          </w:p>
        </w:tc>
        <w:tc>
          <w:tcPr>
            <w:tcW w:w="6383" w:type="dxa"/>
            <w:tcBorders>
              <w:top w:val="single" w:sz="4" w:space="0" w:color="auto"/>
              <w:left w:val="single" w:sz="4" w:space="0" w:color="auto"/>
              <w:bottom w:val="single" w:sz="4" w:space="0" w:color="auto"/>
            </w:tcBorders>
          </w:tcPr>
          <w:p w14:paraId="02132496" w14:textId="0C83574C" w:rsidR="007E2E7B" w:rsidRPr="00FC65B4" w:rsidRDefault="00FC65B4" w:rsidP="00FC65B4">
            <w:pPr>
              <w:jc w:val="both"/>
              <w:rPr>
                <w:rFonts w:asciiTheme="minorHAnsi" w:hAnsiTheme="minorHAnsi"/>
                <w:color w:val="000000"/>
                <w:sz w:val="20"/>
                <w:szCs w:val="20"/>
                <w:highlight w:val="yellow"/>
              </w:rPr>
            </w:pPr>
            <w:r w:rsidRPr="00FC65B4">
              <w:rPr>
                <w:rFonts w:asciiTheme="minorHAnsi" w:hAnsiTheme="minorHAnsi"/>
                <w:color w:val="000000"/>
                <w:sz w:val="20"/>
                <w:szCs w:val="20"/>
                <w:highlight w:val="yellow"/>
              </w:rPr>
              <w:t xml:space="preserve">5) </w:t>
            </w:r>
            <w:r w:rsidR="001C54F3" w:rsidRPr="00FC65B4">
              <w:rPr>
                <w:rFonts w:asciiTheme="minorHAnsi" w:hAnsiTheme="minorHAnsi"/>
                <w:color w:val="000000"/>
                <w:sz w:val="20"/>
                <w:szCs w:val="20"/>
                <w:highlight w:val="yellow"/>
              </w:rPr>
              <w:t>Réapprovisionnement des comptes des bénéficiaires par d'autres partenaires</w:t>
            </w:r>
          </w:p>
        </w:tc>
        <w:tc>
          <w:tcPr>
            <w:tcW w:w="1344" w:type="dxa"/>
            <w:tcBorders>
              <w:top w:val="single" w:sz="4" w:space="0" w:color="auto"/>
              <w:bottom w:val="single" w:sz="4" w:space="0" w:color="auto"/>
              <w:right w:val="single" w:sz="4" w:space="0" w:color="auto"/>
            </w:tcBorders>
            <w:vAlign w:val="center"/>
          </w:tcPr>
          <w:p w14:paraId="336F3408" w14:textId="65357D0A" w:rsidR="007E2E7B" w:rsidRPr="004D7416" w:rsidRDefault="00455DED" w:rsidP="00312F31">
            <w:pPr>
              <w:jc w:val="center"/>
              <w:rPr>
                <w:rFonts w:asciiTheme="minorHAnsi" w:eastAsia="Arial" w:hAnsiTheme="minorHAnsi" w:cs="Arial"/>
                <w:color w:val="1F4E79" w:themeColor="accent1" w:themeShade="80"/>
                <w:sz w:val="20"/>
                <w:szCs w:val="20"/>
              </w:rPr>
            </w:pPr>
            <w:r>
              <w:rPr>
                <w:rFonts w:asciiTheme="minorHAnsi" w:eastAsia="Arial" w:hAnsiTheme="minorHAnsi" w:cs="Arial"/>
                <w:color w:val="1F4E79" w:themeColor="accent1" w:themeShade="80"/>
                <w:sz w:val="20"/>
                <w:szCs w:val="20"/>
              </w:rPr>
              <w:t>Recommandé</w:t>
            </w:r>
          </w:p>
        </w:tc>
      </w:tr>
      <w:tr w:rsidR="00A46B2A" w14:paraId="1A782101" w14:textId="77777777" w:rsidTr="00443B70">
        <w:tc>
          <w:tcPr>
            <w:tcW w:w="1269" w:type="dxa"/>
            <w:vMerge w:val="restart"/>
            <w:tcBorders>
              <w:top w:val="single" w:sz="4" w:space="0" w:color="auto"/>
              <w:left w:val="single" w:sz="4" w:space="0" w:color="auto"/>
            </w:tcBorders>
            <w:vAlign w:val="center"/>
          </w:tcPr>
          <w:p w14:paraId="42626AEA" w14:textId="4FEE2ECB" w:rsidR="00A46B2A" w:rsidRPr="00C57784" w:rsidRDefault="00A46B2A" w:rsidP="004E79C2">
            <w:pPr>
              <w:jc w:val="center"/>
              <w:rPr>
                <w:rFonts w:asciiTheme="minorHAnsi" w:eastAsia="Arial" w:hAnsiTheme="minorHAnsi" w:cs="Arial"/>
                <w:b/>
                <w:sz w:val="18"/>
                <w:szCs w:val="18"/>
              </w:rPr>
            </w:pPr>
            <w:r>
              <w:rPr>
                <w:rFonts w:asciiTheme="minorHAnsi" w:hAnsiTheme="minorHAnsi"/>
                <w:b/>
                <w:sz w:val="18"/>
                <w:szCs w:val="18"/>
              </w:rPr>
              <w:t>Cartes prépayées</w:t>
            </w:r>
          </w:p>
        </w:tc>
        <w:tc>
          <w:tcPr>
            <w:tcW w:w="6383" w:type="dxa"/>
            <w:tcBorders>
              <w:top w:val="single" w:sz="4" w:space="0" w:color="auto"/>
            </w:tcBorders>
          </w:tcPr>
          <w:p w14:paraId="54AC66DA" w14:textId="1D1361BB" w:rsidR="00A46B2A" w:rsidRPr="004D7416" w:rsidRDefault="00A46B2A" w:rsidP="004E79C2">
            <w:pPr>
              <w:jc w:val="both"/>
              <w:rPr>
                <w:rFonts w:asciiTheme="minorHAnsi" w:eastAsia="Arial" w:hAnsiTheme="minorHAnsi" w:cs="Arial"/>
                <w:sz w:val="20"/>
                <w:szCs w:val="20"/>
              </w:rPr>
            </w:pPr>
            <w:r>
              <w:rPr>
                <w:rFonts w:asciiTheme="minorHAnsi" w:hAnsiTheme="minorHAnsi"/>
                <w:color w:val="000000"/>
                <w:sz w:val="20"/>
                <w:szCs w:val="20"/>
              </w:rPr>
              <w:t>1) Les cartes prépayées pour effectuer des retraits aux distributeurs et des paiements aux terminaux des points de vente, ou par l’intermédiaire d’un accord commun avec un agent autorisé par le prestataire de services financiers en attente d’authentification du bénéficiaire.</w:t>
            </w:r>
          </w:p>
        </w:tc>
        <w:tc>
          <w:tcPr>
            <w:tcW w:w="1344" w:type="dxa"/>
            <w:tcBorders>
              <w:top w:val="single" w:sz="4" w:space="0" w:color="auto"/>
              <w:right w:val="single" w:sz="4" w:space="0" w:color="auto"/>
            </w:tcBorders>
            <w:vAlign w:val="center"/>
          </w:tcPr>
          <w:p w14:paraId="74F29CD9" w14:textId="629460A9" w:rsidR="00A46B2A" w:rsidRPr="004D7416" w:rsidRDefault="00A46B2A" w:rsidP="004E79C2">
            <w:pPr>
              <w:jc w:val="center"/>
              <w:rPr>
                <w:rFonts w:asciiTheme="minorHAnsi" w:eastAsia="Arial" w:hAnsiTheme="minorHAnsi" w:cs="Arial"/>
                <w:color w:val="1F4E79" w:themeColor="accent1" w:themeShade="80"/>
                <w:sz w:val="20"/>
                <w:szCs w:val="20"/>
              </w:rPr>
            </w:pPr>
            <w:r w:rsidRPr="00E40F86">
              <w:rPr>
                <w:rFonts w:asciiTheme="minorHAnsi" w:eastAsia="Arial" w:hAnsiTheme="minorHAnsi" w:cs="Arial"/>
                <w:color w:val="1F4E79" w:themeColor="accent1" w:themeShade="80"/>
                <w:sz w:val="20"/>
                <w:szCs w:val="20"/>
              </w:rPr>
              <w:t>Obligatoire</w:t>
            </w:r>
          </w:p>
        </w:tc>
      </w:tr>
      <w:tr w:rsidR="00A46B2A" w14:paraId="0EA73D5D" w14:textId="77777777" w:rsidTr="00443B70">
        <w:tc>
          <w:tcPr>
            <w:tcW w:w="1269" w:type="dxa"/>
            <w:vMerge/>
            <w:tcBorders>
              <w:left w:val="single" w:sz="4" w:space="0" w:color="auto"/>
            </w:tcBorders>
            <w:vAlign w:val="center"/>
          </w:tcPr>
          <w:p w14:paraId="0D96D3B2" w14:textId="77777777" w:rsidR="00A46B2A" w:rsidRDefault="00A46B2A" w:rsidP="00AA1B4A">
            <w:pPr>
              <w:jc w:val="center"/>
              <w:rPr>
                <w:rFonts w:asciiTheme="minorHAnsi" w:eastAsia="Arial" w:hAnsiTheme="minorHAnsi" w:cs="Arial"/>
                <w:sz w:val="21"/>
                <w:szCs w:val="21"/>
              </w:rPr>
            </w:pPr>
          </w:p>
        </w:tc>
        <w:tc>
          <w:tcPr>
            <w:tcW w:w="6383" w:type="dxa"/>
          </w:tcPr>
          <w:p w14:paraId="6E440D35" w14:textId="0862729A" w:rsidR="00A46B2A" w:rsidRPr="004D7416" w:rsidRDefault="00A46B2A" w:rsidP="00AA1B4A">
            <w:pPr>
              <w:jc w:val="both"/>
              <w:rPr>
                <w:rFonts w:asciiTheme="minorHAnsi" w:eastAsia="Arial" w:hAnsiTheme="minorHAnsi" w:cs="Arial"/>
                <w:color w:val="000000"/>
                <w:sz w:val="20"/>
                <w:szCs w:val="20"/>
              </w:rPr>
            </w:pPr>
            <w:r>
              <w:rPr>
                <w:rFonts w:asciiTheme="minorHAnsi" w:hAnsiTheme="minorHAnsi"/>
                <w:color w:val="000000"/>
                <w:sz w:val="20"/>
                <w:szCs w:val="20"/>
              </w:rPr>
              <w:t>2) La conception de la carte est déterminée en étroite collaboration avec le HCR pour décider des éléments devant être visibles sur chaque carte.</w:t>
            </w:r>
          </w:p>
        </w:tc>
        <w:tc>
          <w:tcPr>
            <w:tcW w:w="1344" w:type="dxa"/>
            <w:tcBorders>
              <w:right w:val="single" w:sz="4" w:space="0" w:color="auto"/>
            </w:tcBorders>
            <w:vAlign w:val="center"/>
          </w:tcPr>
          <w:p w14:paraId="43BB9746" w14:textId="53D0C986" w:rsidR="00A46B2A" w:rsidRPr="004D7416" w:rsidRDefault="00A46B2A" w:rsidP="00AA1B4A">
            <w:pPr>
              <w:jc w:val="center"/>
              <w:rPr>
                <w:rFonts w:asciiTheme="minorHAnsi" w:eastAsia="Arial" w:hAnsiTheme="minorHAnsi" w:cs="Arial"/>
                <w:color w:val="1F4E79" w:themeColor="accent1" w:themeShade="80"/>
                <w:sz w:val="20"/>
                <w:szCs w:val="20"/>
              </w:rPr>
            </w:pPr>
            <w:r>
              <w:rPr>
                <w:rFonts w:asciiTheme="minorHAnsi" w:eastAsia="Arial" w:hAnsiTheme="minorHAnsi" w:cs="Arial"/>
                <w:color w:val="1F4E79" w:themeColor="accent1" w:themeShade="80"/>
                <w:sz w:val="20"/>
                <w:szCs w:val="20"/>
              </w:rPr>
              <w:t>Recommandé</w:t>
            </w:r>
          </w:p>
        </w:tc>
      </w:tr>
      <w:tr w:rsidR="00A46B2A" w14:paraId="142A9EA5" w14:textId="77777777" w:rsidTr="00443B70">
        <w:tc>
          <w:tcPr>
            <w:tcW w:w="1269" w:type="dxa"/>
            <w:vMerge/>
            <w:tcBorders>
              <w:left w:val="single" w:sz="4" w:space="0" w:color="auto"/>
            </w:tcBorders>
            <w:vAlign w:val="center"/>
          </w:tcPr>
          <w:p w14:paraId="40E9BF99" w14:textId="77777777" w:rsidR="00A46B2A" w:rsidRDefault="00A46B2A" w:rsidP="00AA1B4A">
            <w:pPr>
              <w:jc w:val="center"/>
              <w:rPr>
                <w:rFonts w:asciiTheme="minorHAnsi" w:eastAsia="Arial" w:hAnsiTheme="minorHAnsi" w:cs="Arial"/>
                <w:sz w:val="21"/>
                <w:szCs w:val="21"/>
              </w:rPr>
            </w:pPr>
          </w:p>
        </w:tc>
        <w:tc>
          <w:tcPr>
            <w:tcW w:w="6383" w:type="dxa"/>
          </w:tcPr>
          <w:p w14:paraId="62682DDE" w14:textId="18582B31" w:rsidR="00A46B2A" w:rsidRPr="004D7416" w:rsidRDefault="00A46B2A" w:rsidP="00AA1B4A">
            <w:pPr>
              <w:jc w:val="both"/>
              <w:rPr>
                <w:rFonts w:asciiTheme="minorHAnsi" w:eastAsia="Arial" w:hAnsiTheme="minorHAnsi" w:cs="Arial"/>
                <w:sz w:val="20"/>
                <w:szCs w:val="20"/>
              </w:rPr>
            </w:pPr>
            <w:r>
              <w:rPr>
                <w:rFonts w:asciiTheme="minorHAnsi" w:hAnsiTheme="minorHAnsi"/>
                <w:color w:val="000000"/>
                <w:sz w:val="20"/>
                <w:szCs w:val="20"/>
              </w:rPr>
              <w:t>3) Chaque carte doit disposer d’un code d’identification ou PIN unique.</w:t>
            </w:r>
          </w:p>
        </w:tc>
        <w:tc>
          <w:tcPr>
            <w:tcW w:w="1344" w:type="dxa"/>
            <w:tcBorders>
              <w:right w:val="single" w:sz="4" w:space="0" w:color="auto"/>
            </w:tcBorders>
            <w:vAlign w:val="center"/>
          </w:tcPr>
          <w:p w14:paraId="51B47CF5" w14:textId="18412961" w:rsidR="00A46B2A" w:rsidRPr="004D7416" w:rsidRDefault="00A46B2A" w:rsidP="00AA1B4A">
            <w:pPr>
              <w:jc w:val="center"/>
              <w:rPr>
                <w:rFonts w:asciiTheme="minorHAnsi" w:eastAsia="Arial" w:hAnsiTheme="minorHAnsi" w:cs="Arial"/>
                <w:color w:val="1F4E79" w:themeColor="accent1" w:themeShade="80"/>
                <w:sz w:val="20"/>
                <w:szCs w:val="20"/>
              </w:rPr>
            </w:pPr>
            <w:r w:rsidRPr="00E40F86">
              <w:rPr>
                <w:rFonts w:asciiTheme="minorHAnsi" w:eastAsia="Arial" w:hAnsiTheme="minorHAnsi" w:cs="Arial"/>
                <w:color w:val="1F4E79" w:themeColor="accent1" w:themeShade="80"/>
                <w:sz w:val="20"/>
                <w:szCs w:val="20"/>
              </w:rPr>
              <w:t>Obligatoire</w:t>
            </w:r>
          </w:p>
        </w:tc>
      </w:tr>
      <w:tr w:rsidR="00A46B2A" w14:paraId="224D73E6" w14:textId="77777777" w:rsidTr="00443B70">
        <w:tc>
          <w:tcPr>
            <w:tcW w:w="1269" w:type="dxa"/>
            <w:vMerge/>
            <w:tcBorders>
              <w:left w:val="single" w:sz="4" w:space="0" w:color="auto"/>
            </w:tcBorders>
            <w:vAlign w:val="center"/>
          </w:tcPr>
          <w:p w14:paraId="4214D909" w14:textId="77777777" w:rsidR="00A46B2A" w:rsidRDefault="00A46B2A" w:rsidP="00AA1B4A">
            <w:pPr>
              <w:jc w:val="center"/>
              <w:rPr>
                <w:rFonts w:asciiTheme="minorHAnsi" w:eastAsia="Arial" w:hAnsiTheme="minorHAnsi" w:cs="Arial"/>
                <w:sz w:val="21"/>
                <w:szCs w:val="21"/>
              </w:rPr>
            </w:pPr>
          </w:p>
        </w:tc>
        <w:tc>
          <w:tcPr>
            <w:tcW w:w="6383" w:type="dxa"/>
          </w:tcPr>
          <w:p w14:paraId="34D717D8" w14:textId="235B84DA" w:rsidR="00A46B2A" w:rsidRPr="004D7416" w:rsidRDefault="00A46B2A" w:rsidP="00AA1B4A">
            <w:pPr>
              <w:jc w:val="both"/>
              <w:rPr>
                <w:rFonts w:asciiTheme="minorHAnsi" w:eastAsia="Arial" w:hAnsiTheme="minorHAnsi" w:cs="Arial"/>
                <w:color w:val="000000"/>
                <w:sz w:val="20"/>
                <w:szCs w:val="20"/>
              </w:rPr>
            </w:pPr>
            <w:r>
              <w:rPr>
                <w:rFonts w:asciiTheme="minorHAnsi" w:hAnsiTheme="minorHAnsi"/>
                <w:sz w:val="20"/>
                <w:szCs w:val="20"/>
              </w:rPr>
              <w:t xml:space="preserve">4) Les cartes doivent porter un code-barres avec l’un des systèmes de codage à barres, tels que UPC, GS1 ou Code 39, afin d’enregistrer rapidement et précisément les cartes dans les systèmes de distribution de cartes du HCR. Les codes-barres seront visibles à l’extérieur de l’emballage ou de l’enveloppe contenant les cartes afin de minimiser la possibilité de fraude. </w:t>
            </w:r>
          </w:p>
        </w:tc>
        <w:tc>
          <w:tcPr>
            <w:tcW w:w="1344" w:type="dxa"/>
            <w:tcBorders>
              <w:right w:val="single" w:sz="4" w:space="0" w:color="auto"/>
            </w:tcBorders>
            <w:vAlign w:val="center"/>
          </w:tcPr>
          <w:p w14:paraId="3ABA90B0" w14:textId="0D4E63E0" w:rsidR="00A46B2A" w:rsidRPr="004D7416" w:rsidRDefault="00A46B2A" w:rsidP="00AA1B4A">
            <w:pPr>
              <w:jc w:val="center"/>
              <w:rPr>
                <w:rFonts w:asciiTheme="minorHAnsi" w:eastAsia="Arial" w:hAnsiTheme="minorHAnsi" w:cs="Arial"/>
                <w:color w:val="1F4E79" w:themeColor="accent1" w:themeShade="80"/>
                <w:sz w:val="20"/>
                <w:szCs w:val="20"/>
              </w:rPr>
            </w:pPr>
            <w:r>
              <w:rPr>
                <w:rFonts w:asciiTheme="minorHAnsi" w:eastAsia="Arial" w:hAnsiTheme="minorHAnsi" w:cs="Arial"/>
                <w:color w:val="1F4E79" w:themeColor="accent1" w:themeShade="80"/>
                <w:sz w:val="20"/>
                <w:szCs w:val="20"/>
              </w:rPr>
              <w:t>Recommandé</w:t>
            </w:r>
          </w:p>
        </w:tc>
      </w:tr>
      <w:tr w:rsidR="00A46B2A" w14:paraId="50C759F5" w14:textId="77777777" w:rsidTr="00443B70">
        <w:tc>
          <w:tcPr>
            <w:tcW w:w="1269" w:type="dxa"/>
            <w:vMerge/>
            <w:tcBorders>
              <w:left w:val="single" w:sz="4" w:space="0" w:color="auto"/>
            </w:tcBorders>
            <w:vAlign w:val="center"/>
          </w:tcPr>
          <w:p w14:paraId="4B970053" w14:textId="77777777" w:rsidR="00A46B2A" w:rsidRDefault="00A46B2A" w:rsidP="00AA1B4A">
            <w:pPr>
              <w:jc w:val="center"/>
              <w:rPr>
                <w:rFonts w:asciiTheme="minorHAnsi" w:eastAsia="Arial" w:hAnsiTheme="minorHAnsi" w:cs="Arial"/>
                <w:sz w:val="21"/>
                <w:szCs w:val="21"/>
              </w:rPr>
            </w:pPr>
          </w:p>
        </w:tc>
        <w:tc>
          <w:tcPr>
            <w:tcW w:w="6383" w:type="dxa"/>
          </w:tcPr>
          <w:p w14:paraId="7AF455FA" w14:textId="33F78306" w:rsidR="00A46B2A" w:rsidRPr="004D7416" w:rsidRDefault="00A46B2A" w:rsidP="00AA1B4A">
            <w:pPr>
              <w:jc w:val="both"/>
              <w:rPr>
                <w:rFonts w:asciiTheme="minorHAnsi" w:eastAsia="Arial" w:hAnsiTheme="minorHAnsi" w:cs="Arial"/>
                <w:sz w:val="20"/>
                <w:szCs w:val="20"/>
              </w:rPr>
            </w:pPr>
            <w:r>
              <w:rPr>
                <w:rFonts w:asciiTheme="minorHAnsi" w:hAnsiTheme="minorHAnsi"/>
                <w:color w:val="000000"/>
                <w:sz w:val="20"/>
                <w:szCs w:val="20"/>
              </w:rPr>
              <w:t>5) La possibilité de posséder plusieurs portefeuilles, chacun d’entre eux pouvant être identifié individuellement à l’aide d’un identifiant unique, comme un numéro de compte ou un identifiant du portefeuille, et permettant les recharges de fonds, sera un atout.</w:t>
            </w:r>
          </w:p>
        </w:tc>
        <w:tc>
          <w:tcPr>
            <w:tcW w:w="1344" w:type="dxa"/>
            <w:tcBorders>
              <w:right w:val="single" w:sz="4" w:space="0" w:color="auto"/>
            </w:tcBorders>
            <w:vAlign w:val="center"/>
          </w:tcPr>
          <w:p w14:paraId="0A935242" w14:textId="7C5084AD" w:rsidR="00A46B2A" w:rsidRPr="004D7416" w:rsidRDefault="00A46B2A" w:rsidP="00AA1B4A">
            <w:pPr>
              <w:jc w:val="center"/>
              <w:rPr>
                <w:rFonts w:asciiTheme="minorHAnsi" w:eastAsia="Arial" w:hAnsiTheme="minorHAnsi" w:cs="Arial"/>
                <w:color w:val="1F4E79" w:themeColor="accent1" w:themeShade="80"/>
                <w:sz w:val="20"/>
                <w:szCs w:val="20"/>
              </w:rPr>
            </w:pPr>
            <w:r>
              <w:rPr>
                <w:rFonts w:asciiTheme="minorHAnsi" w:eastAsia="Arial" w:hAnsiTheme="minorHAnsi" w:cs="Arial"/>
                <w:color w:val="1F4E79" w:themeColor="accent1" w:themeShade="80"/>
                <w:sz w:val="20"/>
                <w:szCs w:val="20"/>
              </w:rPr>
              <w:t>Recommandé</w:t>
            </w:r>
          </w:p>
        </w:tc>
      </w:tr>
      <w:tr w:rsidR="00A46B2A" w14:paraId="7D442B6D" w14:textId="77777777" w:rsidTr="00443B70">
        <w:tc>
          <w:tcPr>
            <w:tcW w:w="1269" w:type="dxa"/>
            <w:vMerge/>
            <w:tcBorders>
              <w:left w:val="single" w:sz="4" w:space="0" w:color="auto"/>
            </w:tcBorders>
          </w:tcPr>
          <w:p w14:paraId="7CFC697F" w14:textId="77777777" w:rsidR="00A46B2A" w:rsidRDefault="00A46B2A" w:rsidP="00AA1B4A">
            <w:pPr>
              <w:rPr>
                <w:rFonts w:asciiTheme="minorHAnsi" w:eastAsia="Arial" w:hAnsiTheme="minorHAnsi" w:cs="Arial"/>
                <w:sz w:val="21"/>
                <w:szCs w:val="21"/>
              </w:rPr>
            </w:pPr>
          </w:p>
        </w:tc>
        <w:tc>
          <w:tcPr>
            <w:tcW w:w="6383" w:type="dxa"/>
          </w:tcPr>
          <w:p w14:paraId="7A683ABF" w14:textId="40CCBEA7" w:rsidR="00A46B2A" w:rsidRPr="004D7416" w:rsidRDefault="00A46B2A" w:rsidP="00AA1B4A">
            <w:pPr>
              <w:jc w:val="both"/>
              <w:rPr>
                <w:rFonts w:asciiTheme="minorHAnsi" w:eastAsia="Arial" w:hAnsiTheme="minorHAnsi" w:cs="Arial"/>
                <w:color w:val="000000"/>
                <w:sz w:val="20"/>
                <w:szCs w:val="20"/>
              </w:rPr>
            </w:pPr>
            <w:r>
              <w:rPr>
                <w:rFonts w:asciiTheme="minorHAnsi" w:hAnsiTheme="minorHAnsi"/>
                <w:color w:val="000000"/>
                <w:sz w:val="20"/>
                <w:szCs w:val="20"/>
              </w:rPr>
              <w:t>6) Les cartes doivent pouvoir être rapidement annulées à la demande du HCR ou du bénéficiaire (en cas de perte, vol ou autre), et le montant être remboursé immédiatement au HCR. Si l’annulation est effectuée par le prestataire de services financiers ou le bénéficiaire, le statut de la carte doit être signalé au HCR immédiatement sous la forme d’un fichier API ou crypté.</w:t>
            </w:r>
          </w:p>
        </w:tc>
        <w:tc>
          <w:tcPr>
            <w:tcW w:w="1344" w:type="dxa"/>
            <w:tcBorders>
              <w:right w:val="single" w:sz="4" w:space="0" w:color="auto"/>
            </w:tcBorders>
            <w:vAlign w:val="center"/>
          </w:tcPr>
          <w:p w14:paraId="0BA2BD48" w14:textId="3A3060EA" w:rsidR="00A46B2A" w:rsidRPr="004D7416" w:rsidRDefault="00A46B2A" w:rsidP="00AA1B4A">
            <w:pPr>
              <w:jc w:val="center"/>
              <w:rPr>
                <w:rFonts w:asciiTheme="minorHAnsi" w:eastAsia="Arial" w:hAnsiTheme="minorHAnsi" w:cs="Arial"/>
                <w:color w:val="1F4E79" w:themeColor="accent1" w:themeShade="80"/>
                <w:sz w:val="20"/>
                <w:szCs w:val="20"/>
              </w:rPr>
            </w:pPr>
            <w:r w:rsidRPr="00E40F86">
              <w:rPr>
                <w:rFonts w:asciiTheme="minorHAnsi" w:eastAsia="Arial" w:hAnsiTheme="minorHAnsi" w:cs="Arial"/>
                <w:color w:val="1F4E79" w:themeColor="accent1" w:themeShade="80"/>
                <w:sz w:val="20"/>
                <w:szCs w:val="20"/>
              </w:rPr>
              <w:t>Obligatoire</w:t>
            </w:r>
          </w:p>
        </w:tc>
      </w:tr>
      <w:tr w:rsidR="00A46B2A" w14:paraId="402B1796" w14:textId="77777777" w:rsidTr="00443B70">
        <w:tc>
          <w:tcPr>
            <w:tcW w:w="1269" w:type="dxa"/>
            <w:vMerge/>
            <w:tcBorders>
              <w:left w:val="single" w:sz="4" w:space="0" w:color="auto"/>
            </w:tcBorders>
          </w:tcPr>
          <w:p w14:paraId="2A85B25B" w14:textId="77777777" w:rsidR="00A46B2A" w:rsidRDefault="00A46B2A" w:rsidP="00AA1B4A">
            <w:pPr>
              <w:rPr>
                <w:rFonts w:asciiTheme="minorHAnsi" w:eastAsia="Arial" w:hAnsiTheme="minorHAnsi" w:cs="Arial"/>
                <w:sz w:val="21"/>
                <w:szCs w:val="21"/>
              </w:rPr>
            </w:pPr>
          </w:p>
        </w:tc>
        <w:tc>
          <w:tcPr>
            <w:tcW w:w="6383" w:type="dxa"/>
            <w:tcBorders>
              <w:bottom w:val="single" w:sz="4" w:space="0" w:color="auto"/>
            </w:tcBorders>
          </w:tcPr>
          <w:p w14:paraId="66180B66" w14:textId="5F415C64" w:rsidR="00A46B2A" w:rsidRPr="004D7416" w:rsidRDefault="00A46B2A" w:rsidP="00AA1B4A">
            <w:pPr>
              <w:jc w:val="both"/>
              <w:rPr>
                <w:rFonts w:asciiTheme="minorHAnsi" w:eastAsia="Arial" w:hAnsiTheme="minorHAnsi" w:cs="Arial"/>
                <w:sz w:val="20"/>
                <w:szCs w:val="20"/>
              </w:rPr>
            </w:pPr>
            <w:r>
              <w:rPr>
                <w:rFonts w:asciiTheme="minorHAnsi" w:hAnsiTheme="minorHAnsi"/>
                <w:color w:val="000000"/>
                <w:sz w:val="20"/>
                <w:szCs w:val="20"/>
              </w:rPr>
              <w:t>7) Le prestataire de services financiers doit pouvoir communiquer au HCR une liste des points de retrait, montants et horodatages de tous les retraits effectués avec une carte de droits sous la forme d’un format électronique prédéfini.</w:t>
            </w:r>
          </w:p>
        </w:tc>
        <w:tc>
          <w:tcPr>
            <w:tcW w:w="1344" w:type="dxa"/>
            <w:tcBorders>
              <w:right w:val="single" w:sz="4" w:space="0" w:color="auto"/>
            </w:tcBorders>
            <w:vAlign w:val="center"/>
          </w:tcPr>
          <w:p w14:paraId="437A26B0" w14:textId="47983B96" w:rsidR="00A46B2A" w:rsidRPr="004D7416" w:rsidRDefault="00A46B2A" w:rsidP="00AA1B4A">
            <w:pPr>
              <w:jc w:val="center"/>
              <w:rPr>
                <w:rFonts w:asciiTheme="minorHAnsi" w:eastAsia="Arial" w:hAnsiTheme="minorHAnsi" w:cs="Arial"/>
                <w:color w:val="1F4E79" w:themeColor="accent1" w:themeShade="80"/>
                <w:sz w:val="20"/>
                <w:szCs w:val="20"/>
              </w:rPr>
            </w:pPr>
            <w:r w:rsidRPr="00E40F86">
              <w:rPr>
                <w:rFonts w:asciiTheme="minorHAnsi" w:eastAsia="Arial" w:hAnsiTheme="minorHAnsi" w:cs="Arial"/>
                <w:color w:val="1F4E79" w:themeColor="accent1" w:themeShade="80"/>
                <w:sz w:val="20"/>
                <w:szCs w:val="20"/>
              </w:rPr>
              <w:t>Obligatoire</w:t>
            </w:r>
          </w:p>
        </w:tc>
      </w:tr>
      <w:tr w:rsidR="00A46B2A" w14:paraId="5DCC5DBC" w14:textId="77777777" w:rsidTr="00443B70">
        <w:trPr>
          <w:trHeight w:val="1377"/>
        </w:trPr>
        <w:tc>
          <w:tcPr>
            <w:tcW w:w="1269" w:type="dxa"/>
            <w:vMerge/>
            <w:tcBorders>
              <w:left w:val="single" w:sz="4" w:space="0" w:color="auto"/>
              <w:bottom w:val="single" w:sz="4" w:space="0" w:color="auto"/>
            </w:tcBorders>
          </w:tcPr>
          <w:p w14:paraId="69688943" w14:textId="77777777" w:rsidR="00A46B2A" w:rsidRDefault="00A46B2A" w:rsidP="00AA1B4A">
            <w:pPr>
              <w:rPr>
                <w:rFonts w:asciiTheme="minorHAnsi" w:eastAsia="Arial" w:hAnsiTheme="minorHAnsi" w:cs="Arial"/>
                <w:sz w:val="21"/>
                <w:szCs w:val="21"/>
              </w:rPr>
            </w:pPr>
          </w:p>
        </w:tc>
        <w:tc>
          <w:tcPr>
            <w:tcW w:w="6383" w:type="dxa"/>
            <w:tcBorders>
              <w:bottom w:val="single" w:sz="4" w:space="0" w:color="auto"/>
            </w:tcBorders>
          </w:tcPr>
          <w:p w14:paraId="6A66BF48" w14:textId="4A3E82DF" w:rsidR="00A46B2A" w:rsidRPr="004D7416" w:rsidRDefault="00A46B2A" w:rsidP="00AA1B4A">
            <w:pPr>
              <w:jc w:val="both"/>
              <w:rPr>
                <w:rFonts w:asciiTheme="minorHAnsi" w:eastAsia="Arial" w:hAnsiTheme="minorHAnsi" w:cs="Arial"/>
                <w:color w:val="000000"/>
                <w:sz w:val="20"/>
                <w:szCs w:val="20"/>
              </w:rPr>
            </w:pPr>
            <w:r>
              <w:rPr>
                <w:rFonts w:asciiTheme="minorHAnsi" w:hAnsiTheme="minorHAnsi"/>
                <w:sz w:val="20"/>
                <w:szCs w:val="20"/>
              </w:rPr>
              <w:t>8) Le prestataire de services financiers doit réduire le solde du compte de la carte si les bénéficiaires effectuent des retraits ou des paiements. Les relevés du compte de la carte (montrant les mouvements du compte et les balances de soldes) doivent être régulièrement transmis au HCR. Le solde du compte de la carte représente le total des montants qui n’ont pas été utilisés par les bénéficiaires.</w:t>
            </w:r>
          </w:p>
        </w:tc>
        <w:tc>
          <w:tcPr>
            <w:tcW w:w="1344" w:type="dxa"/>
            <w:tcBorders>
              <w:bottom w:val="single" w:sz="4" w:space="0" w:color="auto"/>
              <w:right w:val="single" w:sz="4" w:space="0" w:color="auto"/>
            </w:tcBorders>
            <w:vAlign w:val="center"/>
          </w:tcPr>
          <w:p w14:paraId="02C5153C" w14:textId="41281349" w:rsidR="00A46B2A" w:rsidRPr="004D7416" w:rsidRDefault="00A46B2A" w:rsidP="00AA1B4A">
            <w:pPr>
              <w:jc w:val="center"/>
              <w:rPr>
                <w:rFonts w:asciiTheme="minorHAnsi" w:eastAsia="Arial" w:hAnsiTheme="minorHAnsi" w:cs="Arial"/>
                <w:color w:val="1F4E79" w:themeColor="accent1" w:themeShade="80"/>
                <w:sz w:val="20"/>
                <w:szCs w:val="20"/>
              </w:rPr>
            </w:pPr>
            <w:r w:rsidRPr="00E40F86">
              <w:rPr>
                <w:rFonts w:asciiTheme="minorHAnsi" w:eastAsia="Arial" w:hAnsiTheme="minorHAnsi" w:cs="Arial"/>
                <w:color w:val="1F4E79" w:themeColor="accent1" w:themeShade="80"/>
                <w:sz w:val="20"/>
                <w:szCs w:val="20"/>
              </w:rPr>
              <w:t>Obligatoire</w:t>
            </w:r>
          </w:p>
        </w:tc>
      </w:tr>
      <w:tr w:rsidR="00A46B2A" w14:paraId="4425BF3A" w14:textId="77777777" w:rsidTr="00443B70">
        <w:tc>
          <w:tcPr>
            <w:tcW w:w="1269" w:type="dxa"/>
            <w:vMerge/>
            <w:tcBorders>
              <w:left w:val="single" w:sz="4" w:space="0" w:color="auto"/>
              <w:bottom w:val="single" w:sz="4" w:space="0" w:color="auto"/>
            </w:tcBorders>
          </w:tcPr>
          <w:p w14:paraId="448BA55B" w14:textId="77777777" w:rsidR="00A46B2A" w:rsidRDefault="00A46B2A" w:rsidP="00AA1B4A">
            <w:pPr>
              <w:rPr>
                <w:rFonts w:asciiTheme="minorHAnsi" w:eastAsia="Arial" w:hAnsiTheme="minorHAnsi" w:cs="Arial"/>
                <w:sz w:val="21"/>
                <w:szCs w:val="21"/>
              </w:rPr>
            </w:pPr>
          </w:p>
        </w:tc>
        <w:tc>
          <w:tcPr>
            <w:tcW w:w="6383" w:type="dxa"/>
            <w:tcBorders>
              <w:bottom w:val="single" w:sz="4" w:space="0" w:color="auto"/>
            </w:tcBorders>
          </w:tcPr>
          <w:p w14:paraId="3C536D60" w14:textId="2B5202DB" w:rsidR="00A46B2A" w:rsidRPr="00EC0CDE" w:rsidRDefault="00443B70" w:rsidP="00443B70">
            <w:pPr>
              <w:jc w:val="both"/>
              <w:rPr>
                <w:rFonts w:asciiTheme="minorHAnsi" w:hAnsiTheme="minorHAnsi"/>
                <w:sz w:val="20"/>
                <w:szCs w:val="20"/>
                <w:highlight w:val="yellow"/>
              </w:rPr>
            </w:pPr>
            <w:r w:rsidRPr="00EC0CDE">
              <w:rPr>
                <w:rFonts w:asciiTheme="minorHAnsi" w:hAnsiTheme="minorHAnsi"/>
                <w:sz w:val="20"/>
                <w:szCs w:val="20"/>
                <w:highlight w:val="yellow"/>
              </w:rPr>
              <w:t>9)</w:t>
            </w:r>
            <w:r w:rsidR="00EC0CDE" w:rsidRPr="00EC0CDE">
              <w:rPr>
                <w:highlight w:val="yellow"/>
              </w:rPr>
              <w:t xml:space="preserve"> </w:t>
            </w:r>
            <w:r w:rsidR="00EC0CDE" w:rsidRPr="00EC0CDE">
              <w:rPr>
                <w:rFonts w:asciiTheme="minorHAnsi" w:hAnsiTheme="minorHAnsi"/>
                <w:sz w:val="20"/>
                <w:szCs w:val="20"/>
                <w:highlight w:val="yellow"/>
              </w:rPr>
              <w:t>le solde non dépensé des cartes doit être remboursé à la demande du HCR</w:t>
            </w:r>
          </w:p>
        </w:tc>
        <w:tc>
          <w:tcPr>
            <w:tcW w:w="1344" w:type="dxa"/>
            <w:tcBorders>
              <w:bottom w:val="single" w:sz="4" w:space="0" w:color="auto"/>
              <w:right w:val="single" w:sz="4" w:space="0" w:color="auto"/>
            </w:tcBorders>
            <w:vAlign w:val="center"/>
          </w:tcPr>
          <w:p w14:paraId="6797C321" w14:textId="537E77F5" w:rsidR="00A46B2A" w:rsidRPr="00E40F86" w:rsidRDefault="00EC0CDE" w:rsidP="00AA1B4A">
            <w:pPr>
              <w:jc w:val="center"/>
              <w:rPr>
                <w:rFonts w:asciiTheme="minorHAnsi" w:eastAsia="Arial" w:hAnsiTheme="minorHAnsi" w:cs="Arial"/>
                <w:color w:val="1F4E79" w:themeColor="accent1" w:themeShade="80"/>
                <w:sz w:val="20"/>
                <w:szCs w:val="20"/>
              </w:rPr>
            </w:pPr>
            <w:r w:rsidRPr="00E40F86">
              <w:rPr>
                <w:rFonts w:asciiTheme="minorHAnsi" w:eastAsia="Arial" w:hAnsiTheme="minorHAnsi" w:cs="Arial"/>
                <w:color w:val="1F4E79" w:themeColor="accent1" w:themeShade="80"/>
                <w:sz w:val="20"/>
                <w:szCs w:val="20"/>
              </w:rPr>
              <w:t>Obligatoire</w:t>
            </w:r>
          </w:p>
        </w:tc>
      </w:tr>
      <w:tr w:rsidR="00C57784" w14:paraId="21171CAA" w14:textId="77777777" w:rsidTr="00443B70">
        <w:tc>
          <w:tcPr>
            <w:tcW w:w="1269" w:type="dxa"/>
            <w:vMerge w:val="restart"/>
            <w:tcBorders>
              <w:top w:val="single" w:sz="4" w:space="0" w:color="auto"/>
              <w:left w:val="single" w:sz="4" w:space="0" w:color="auto"/>
              <w:bottom w:val="single" w:sz="4" w:space="0" w:color="auto"/>
              <w:right w:val="single" w:sz="4" w:space="0" w:color="auto"/>
            </w:tcBorders>
            <w:vAlign w:val="center"/>
          </w:tcPr>
          <w:p w14:paraId="198F57BD" w14:textId="05360171" w:rsidR="00C57784" w:rsidRPr="00660404" w:rsidRDefault="00C57784" w:rsidP="00C57784">
            <w:pPr>
              <w:jc w:val="center"/>
              <w:rPr>
                <w:rFonts w:asciiTheme="minorHAnsi" w:eastAsia="Arial" w:hAnsiTheme="minorHAnsi" w:cs="Arial"/>
                <w:b/>
                <w:sz w:val="21"/>
                <w:szCs w:val="21"/>
              </w:rPr>
            </w:pPr>
            <w:r>
              <w:rPr>
                <w:rFonts w:asciiTheme="minorHAnsi" w:hAnsiTheme="minorHAnsi"/>
                <w:b/>
                <w:color w:val="000000"/>
                <w:sz w:val="18"/>
                <w:szCs w:val="18"/>
              </w:rPr>
              <w:t>Argent mobile</w:t>
            </w:r>
          </w:p>
        </w:tc>
        <w:tc>
          <w:tcPr>
            <w:tcW w:w="6383" w:type="dxa"/>
            <w:tcBorders>
              <w:top w:val="single" w:sz="4" w:space="0" w:color="auto"/>
              <w:left w:val="single" w:sz="4" w:space="0" w:color="auto"/>
              <w:bottom w:val="single" w:sz="4" w:space="0" w:color="auto"/>
            </w:tcBorders>
          </w:tcPr>
          <w:p w14:paraId="2B25B2BF" w14:textId="6CE3CA9E" w:rsidR="00C57784" w:rsidRPr="004D7416" w:rsidRDefault="00C57784" w:rsidP="00C57784">
            <w:pPr>
              <w:jc w:val="both"/>
              <w:rPr>
                <w:rFonts w:asciiTheme="minorHAnsi" w:eastAsia="Arial" w:hAnsiTheme="minorHAnsi" w:cs="Arial"/>
                <w:sz w:val="20"/>
                <w:szCs w:val="20"/>
              </w:rPr>
            </w:pPr>
            <w:r>
              <w:rPr>
                <w:rFonts w:asciiTheme="minorHAnsi" w:hAnsiTheme="minorHAnsi"/>
                <w:color w:val="000000"/>
                <w:sz w:val="20"/>
                <w:szCs w:val="20"/>
              </w:rPr>
              <w:t xml:space="preserve">1) </w:t>
            </w:r>
            <w:r>
              <w:rPr>
                <w:rFonts w:asciiTheme="minorHAnsi" w:hAnsiTheme="minorHAnsi"/>
                <w:sz w:val="20"/>
                <w:szCs w:val="20"/>
              </w:rPr>
              <w:t xml:space="preserve">La couverture mobile nécessaire pour accéder au service doit atteindre plus de 80 % de la population (emplacements résidentiels) de la région concernée, avec 95 % des utilisateurs ayant la possibilité d’accéder aux </w:t>
            </w:r>
            <w:r>
              <w:rPr>
                <w:rFonts w:asciiTheme="minorHAnsi" w:hAnsiTheme="minorHAnsi"/>
                <w:sz w:val="20"/>
                <w:szCs w:val="20"/>
              </w:rPr>
              <w:lastRenderedPageBreak/>
              <w:t>services dans un rayon de 1 km autour de leur résidence, ce qui peut être testé au cours du processus d’évaluation de l’offre.</w:t>
            </w:r>
          </w:p>
        </w:tc>
        <w:tc>
          <w:tcPr>
            <w:tcW w:w="1344" w:type="dxa"/>
            <w:tcBorders>
              <w:top w:val="single" w:sz="4" w:space="0" w:color="auto"/>
              <w:bottom w:val="single" w:sz="4" w:space="0" w:color="auto"/>
              <w:right w:val="single" w:sz="4" w:space="0" w:color="auto"/>
            </w:tcBorders>
            <w:vAlign w:val="center"/>
          </w:tcPr>
          <w:p w14:paraId="60470EFE" w14:textId="7AC51F14" w:rsidR="00C57784" w:rsidRPr="004D7416" w:rsidRDefault="00F6599E" w:rsidP="00C57784">
            <w:pPr>
              <w:jc w:val="center"/>
              <w:rPr>
                <w:rFonts w:asciiTheme="minorHAnsi" w:eastAsia="Arial" w:hAnsiTheme="minorHAnsi" w:cs="Arial"/>
                <w:color w:val="1F4E79" w:themeColor="accent1" w:themeShade="80"/>
                <w:sz w:val="20"/>
                <w:szCs w:val="20"/>
              </w:rPr>
            </w:pPr>
            <w:r>
              <w:rPr>
                <w:rFonts w:asciiTheme="minorHAnsi" w:eastAsia="Arial" w:hAnsiTheme="minorHAnsi" w:cs="Arial"/>
                <w:color w:val="1F4E79" w:themeColor="accent1" w:themeShade="80"/>
                <w:sz w:val="20"/>
                <w:szCs w:val="20"/>
              </w:rPr>
              <w:lastRenderedPageBreak/>
              <w:t>Recommandé</w:t>
            </w:r>
          </w:p>
        </w:tc>
      </w:tr>
      <w:tr w:rsidR="00C57784" w14:paraId="25B28357" w14:textId="77777777" w:rsidTr="00443B70">
        <w:tc>
          <w:tcPr>
            <w:tcW w:w="1269" w:type="dxa"/>
            <w:vMerge/>
            <w:tcBorders>
              <w:left w:val="single" w:sz="4" w:space="0" w:color="auto"/>
              <w:bottom w:val="single" w:sz="4" w:space="0" w:color="auto"/>
              <w:right w:val="single" w:sz="4" w:space="0" w:color="auto"/>
            </w:tcBorders>
          </w:tcPr>
          <w:p w14:paraId="00AF3525" w14:textId="77777777" w:rsidR="00C57784" w:rsidRPr="000D3147" w:rsidRDefault="00C57784" w:rsidP="00C57784">
            <w:pPr>
              <w:rPr>
                <w:rFonts w:asciiTheme="minorHAnsi" w:eastAsia="Arial" w:hAnsiTheme="minorHAnsi" w:cs="Arial"/>
                <w:color w:val="000000"/>
                <w:sz w:val="18"/>
                <w:szCs w:val="18"/>
              </w:rPr>
            </w:pPr>
          </w:p>
        </w:tc>
        <w:tc>
          <w:tcPr>
            <w:tcW w:w="6383" w:type="dxa"/>
            <w:tcBorders>
              <w:left w:val="single" w:sz="4" w:space="0" w:color="auto"/>
              <w:bottom w:val="single" w:sz="4" w:space="0" w:color="auto"/>
            </w:tcBorders>
          </w:tcPr>
          <w:p w14:paraId="5C96866F" w14:textId="787EE1DB" w:rsidR="00C57784" w:rsidRPr="004D7416" w:rsidRDefault="00C57784" w:rsidP="00C57784">
            <w:pPr>
              <w:jc w:val="both"/>
              <w:rPr>
                <w:rFonts w:asciiTheme="minorHAnsi" w:eastAsia="Arial" w:hAnsiTheme="minorHAnsi" w:cs="Arial"/>
                <w:color w:val="000000"/>
                <w:sz w:val="20"/>
                <w:szCs w:val="20"/>
              </w:rPr>
            </w:pPr>
            <w:r>
              <w:rPr>
                <w:rFonts w:asciiTheme="minorHAnsi" w:hAnsiTheme="minorHAnsi"/>
                <w:color w:val="000000"/>
                <w:sz w:val="20"/>
                <w:szCs w:val="20"/>
              </w:rPr>
              <w:t>2) Si nécessaire, des cartes SIM et les PIN associés peuvent être fournis et distribués à chaque bénéficiaire par le prestataire de services financiers</w:t>
            </w:r>
            <w:r w:rsidR="00063B2D">
              <w:rPr>
                <w:rFonts w:asciiTheme="minorHAnsi" w:hAnsiTheme="minorHAnsi"/>
                <w:color w:val="000000"/>
                <w:sz w:val="20"/>
                <w:szCs w:val="20"/>
              </w:rPr>
              <w:t> </w:t>
            </w:r>
            <w:r>
              <w:rPr>
                <w:rFonts w:asciiTheme="minorHAnsi" w:hAnsiTheme="minorHAnsi"/>
                <w:color w:val="000000"/>
                <w:sz w:val="20"/>
                <w:szCs w:val="20"/>
              </w:rPr>
              <w:t xml:space="preserve">; </w:t>
            </w:r>
          </w:p>
        </w:tc>
        <w:tc>
          <w:tcPr>
            <w:tcW w:w="1344" w:type="dxa"/>
            <w:tcBorders>
              <w:bottom w:val="single" w:sz="4" w:space="0" w:color="auto"/>
              <w:right w:val="single" w:sz="4" w:space="0" w:color="auto"/>
            </w:tcBorders>
            <w:vAlign w:val="center"/>
          </w:tcPr>
          <w:p w14:paraId="15B040CC" w14:textId="5F4B572A" w:rsidR="00C57784" w:rsidRPr="004D7416" w:rsidRDefault="00964164" w:rsidP="00C57784">
            <w:pPr>
              <w:jc w:val="center"/>
              <w:rPr>
                <w:rFonts w:asciiTheme="minorHAnsi" w:eastAsia="Arial" w:hAnsiTheme="minorHAnsi" w:cs="Arial"/>
                <w:color w:val="1F4E79" w:themeColor="accent1" w:themeShade="80"/>
                <w:sz w:val="20"/>
                <w:szCs w:val="20"/>
              </w:rPr>
            </w:pPr>
            <w:r>
              <w:rPr>
                <w:rFonts w:asciiTheme="minorHAnsi" w:eastAsia="Arial" w:hAnsiTheme="minorHAnsi" w:cs="Arial"/>
                <w:color w:val="1F4E79" w:themeColor="accent1" w:themeShade="80"/>
                <w:sz w:val="20"/>
                <w:szCs w:val="20"/>
              </w:rPr>
              <w:t>Recommandé</w:t>
            </w:r>
          </w:p>
        </w:tc>
      </w:tr>
      <w:tr w:rsidR="00C57784" w14:paraId="0DF84006" w14:textId="77777777" w:rsidTr="00443B70">
        <w:tc>
          <w:tcPr>
            <w:tcW w:w="1269" w:type="dxa"/>
            <w:vMerge/>
            <w:tcBorders>
              <w:left w:val="single" w:sz="4" w:space="0" w:color="auto"/>
              <w:bottom w:val="single" w:sz="4" w:space="0" w:color="auto"/>
              <w:right w:val="single" w:sz="4" w:space="0" w:color="auto"/>
            </w:tcBorders>
          </w:tcPr>
          <w:p w14:paraId="01B97B18" w14:textId="77777777" w:rsidR="00C57784" w:rsidRPr="000D3147" w:rsidRDefault="00C57784" w:rsidP="00C57784">
            <w:pPr>
              <w:rPr>
                <w:rFonts w:asciiTheme="minorHAnsi" w:eastAsia="Arial" w:hAnsiTheme="minorHAnsi" w:cs="Arial"/>
                <w:color w:val="000000"/>
                <w:sz w:val="18"/>
                <w:szCs w:val="18"/>
              </w:rPr>
            </w:pPr>
          </w:p>
        </w:tc>
        <w:tc>
          <w:tcPr>
            <w:tcW w:w="6383" w:type="dxa"/>
            <w:tcBorders>
              <w:left w:val="single" w:sz="4" w:space="0" w:color="auto"/>
              <w:bottom w:val="single" w:sz="4" w:space="0" w:color="auto"/>
            </w:tcBorders>
          </w:tcPr>
          <w:p w14:paraId="43B3F1AE" w14:textId="75CB065D" w:rsidR="00C57784" w:rsidRPr="004D7416" w:rsidRDefault="00C57784" w:rsidP="00C57784">
            <w:pPr>
              <w:jc w:val="both"/>
              <w:rPr>
                <w:rFonts w:asciiTheme="minorHAnsi" w:eastAsia="Arial" w:hAnsiTheme="minorHAnsi" w:cs="Arial"/>
                <w:sz w:val="20"/>
                <w:szCs w:val="20"/>
              </w:rPr>
            </w:pPr>
            <w:r>
              <w:rPr>
                <w:rFonts w:asciiTheme="minorHAnsi" w:hAnsiTheme="minorHAnsi"/>
                <w:color w:val="000000"/>
                <w:sz w:val="20"/>
                <w:szCs w:val="20"/>
              </w:rPr>
              <w:t xml:space="preserve">3) </w:t>
            </w:r>
            <w:r>
              <w:rPr>
                <w:rFonts w:asciiTheme="minorHAnsi" w:hAnsiTheme="minorHAnsi"/>
                <w:sz w:val="20"/>
                <w:szCs w:val="20"/>
              </w:rPr>
              <w:t>Le prestataire de services financiers doit garantir la validité des cartes SIM tout au long de la période durant laquelle les bénéficiaires conservent leur portefeuille mobile, sans frais/coûts supplémentaires pour les bénéficiaires, et garantir le respect de toutes les exigences réglementaires associées à l’activation de la ligne.</w:t>
            </w:r>
          </w:p>
        </w:tc>
        <w:tc>
          <w:tcPr>
            <w:tcW w:w="1344" w:type="dxa"/>
            <w:tcBorders>
              <w:bottom w:val="single" w:sz="4" w:space="0" w:color="auto"/>
              <w:right w:val="single" w:sz="4" w:space="0" w:color="auto"/>
            </w:tcBorders>
            <w:vAlign w:val="center"/>
          </w:tcPr>
          <w:p w14:paraId="694B6F43" w14:textId="10F6A4E2" w:rsidR="00C57784" w:rsidRPr="004D7416" w:rsidRDefault="00964164" w:rsidP="00C57784">
            <w:pPr>
              <w:jc w:val="center"/>
              <w:rPr>
                <w:rFonts w:asciiTheme="minorHAnsi" w:eastAsia="Arial" w:hAnsiTheme="minorHAnsi" w:cs="Arial"/>
                <w:color w:val="1F4E79" w:themeColor="accent1" w:themeShade="80"/>
                <w:sz w:val="20"/>
                <w:szCs w:val="20"/>
              </w:rPr>
            </w:pPr>
            <w:r w:rsidRPr="00E40F86">
              <w:rPr>
                <w:rFonts w:asciiTheme="minorHAnsi" w:eastAsia="Arial" w:hAnsiTheme="minorHAnsi" w:cs="Arial"/>
                <w:color w:val="1F4E79" w:themeColor="accent1" w:themeShade="80"/>
                <w:sz w:val="20"/>
                <w:szCs w:val="20"/>
              </w:rPr>
              <w:t>Obligatoire</w:t>
            </w:r>
          </w:p>
        </w:tc>
      </w:tr>
      <w:tr w:rsidR="00C57784" w14:paraId="2D263B83" w14:textId="77777777" w:rsidTr="00443B70">
        <w:tc>
          <w:tcPr>
            <w:tcW w:w="1269" w:type="dxa"/>
            <w:vMerge/>
            <w:tcBorders>
              <w:left w:val="single" w:sz="4" w:space="0" w:color="auto"/>
              <w:bottom w:val="single" w:sz="4" w:space="0" w:color="auto"/>
              <w:right w:val="single" w:sz="4" w:space="0" w:color="auto"/>
            </w:tcBorders>
          </w:tcPr>
          <w:p w14:paraId="411022F2" w14:textId="77777777" w:rsidR="00C57784" w:rsidRPr="000D3147" w:rsidRDefault="00C57784" w:rsidP="00C57784">
            <w:pPr>
              <w:rPr>
                <w:rFonts w:asciiTheme="minorHAnsi" w:eastAsia="Arial" w:hAnsiTheme="minorHAnsi" w:cs="Arial"/>
                <w:color w:val="000000"/>
                <w:sz w:val="18"/>
                <w:szCs w:val="18"/>
              </w:rPr>
            </w:pPr>
          </w:p>
        </w:tc>
        <w:tc>
          <w:tcPr>
            <w:tcW w:w="6383" w:type="dxa"/>
            <w:tcBorders>
              <w:left w:val="single" w:sz="4" w:space="0" w:color="auto"/>
              <w:bottom w:val="single" w:sz="4" w:space="0" w:color="auto"/>
            </w:tcBorders>
          </w:tcPr>
          <w:p w14:paraId="2319694B" w14:textId="4C540FC7" w:rsidR="00C57784" w:rsidRPr="004D7416" w:rsidRDefault="00C57784" w:rsidP="00C57784">
            <w:pPr>
              <w:jc w:val="both"/>
              <w:rPr>
                <w:rFonts w:asciiTheme="minorHAnsi" w:eastAsia="Arial" w:hAnsiTheme="minorHAnsi" w:cs="Arial"/>
                <w:sz w:val="20"/>
                <w:szCs w:val="20"/>
              </w:rPr>
            </w:pPr>
            <w:r>
              <w:rPr>
                <w:rFonts w:asciiTheme="minorHAnsi" w:hAnsiTheme="minorHAnsi"/>
                <w:color w:val="000000"/>
                <w:sz w:val="20"/>
                <w:szCs w:val="20"/>
              </w:rPr>
              <w:t xml:space="preserve">4) </w:t>
            </w:r>
            <w:r>
              <w:rPr>
                <w:rFonts w:asciiTheme="minorHAnsi" w:hAnsiTheme="minorHAnsi"/>
                <w:sz w:val="20"/>
                <w:szCs w:val="20"/>
              </w:rPr>
              <w:t>Le prestataire de services doit s’assurer que les réseaux des agents soient équipés pour aider les utilisateurs à prendre leur appareil en main et leur expliquer comment utiliser le service sur leur appareil. En outre, les prestataires de services financiers doivent proposer des supports adaptés aux utilisateurs (dans la langue et aux formats requis) pour leur expliquer comment utiliser le service disponible par le biais de leurs canaux privilégiés.</w:t>
            </w:r>
          </w:p>
        </w:tc>
        <w:tc>
          <w:tcPr>
            <w:tcW w:w="1344" w:type="dxa"/>
            <w:tcBorders>
              <w:bottom w:val="single" w:sz="4" w:space="0" w:color="auto"/>
              <w:right w:val="single" w:sz="4" w:space="0" w:color="auto"/>
            </w:tcBorders>
            <w:vAlign w:val="center"/>
          </w:tcPr>
          <w:p w14:paraId="20E931BF" w14:textId="70918023" w:rsidR="00C57784" w:rsidRPr="004D7416" w:rsidRDefault="00964164" w:rsidP="00C57784">
            <w:pPr>
              <w:jc w:val="center"/>
              <w:rPr>
                <w:rFonts w:asciiTheme="minorHAnsi" w:eastAsia="Arial" w:hAnsiTheme="minorHAnsi" w:cs="Arial"/>
                <w:color w:val="1F4E79" w:themeColor="accent1" w:themeShade="80"/>
                <w:sz w:val="20"/>
                <w:szCs w:val="20"/>
              </w:rPr>
            </w:pPr>
            <w:r w:rsidRPr="00E40F86">
              <w:rPr>
                <w:rFonts w:asciiTheme="minorHAnsi" w:eastAsia="Arial" w:hAnsiTheme="minorHAnsi" w:cs="Arial"/>
                <w:color w:val="1F4E79" w:themeColor="accent1" w:themeShade="80"/>
                <w:sz w:val="20"/>
                <w:szCs w:val="20"/>
              </w:rPr>
              <w:t>Obligatoire</w:t>
            </w:r>
          </w:p>
        </w:tc>
      </w:tr>
    </w:tbl>
    <w:p w14:paraId="0000006F" w14:textId="77777777" w:rsidR="00AA1640" w:rsidRPr="00B92CFB" w:rsidRDefault="00AA1640" w:rsidP="002C4B58">
      <w:pPr>
        <w:spacing w:after="0" w:line="240" w:lineRule="auto"/>
        <w:jc w:val="both"/>
        <w:rPr>
          <w:rFonts w:asciiTheme="minorHAnsi" w:eastAsia="Arial" w:hAnsiTheme="minorHAnsi" w:cs="Arial"/>
          <w:b/>
          <w:color w:val="1F3864"/>
          <w:sz w:val="21"/>
          <w:szCs w:val="21"/>
          <w:u w:val="single"/>
        </w:rPr>
      </w:pPr>
    </w:p>
    <w:p w14:paraId="00000070" w14:textId="77777777" w:rsidR="00AA1640" w:rsidRPr="00B92CFB" w:rsidRDefault="002C0000" w:rsidP="00A61661">
      <w:pPr>
        <w:spacing w:after="0" w:line="240" w:lineRule="auto"/>
        <w:jc w:val="both"/>
        <w:rPr>
          <w:rFonts w:asciiTheme="minorHAnsi" w:eastAsia="Arial" w:hAnsiTheme="minorHAnsi" w:cs="Arial"/>
          <w:color w:val="1F3864"/>
          <w:u w:val="single"/>
        </w:rPr>
      </w:pPr>
      <w:r>
        <w:rPr>
          <w:rFonts w:asciiTheme="minorHAnsi" w:hAnsiTheme="minorHAnsi"/>
          <w:b/>
          <w:color w:val="1F3864"/>
          <w:u w:val="single"/>
        </w:rPr>
        <w:t xml:space="preserve">V. Identification des bénéficiaires </w:t>
      </w:r>
    </w:p>
    <w:p w14:paraId="00000071" w14:textId="5B2F8285" w:rsidR="00AA1640" w:rsidRPr="00B92CFB" w:rsidRDefault="002C0000" w:rsidP="00A61661">
      <w:pPr>
        <w:spacing w:after="120" w:line="240" w:lineRule="auto"/>
        <w:jc w:val="both"/>
        <w:rPr>
          <w:rFonts w:asciiTheme="minorHAnsi" w:eastAsia="Arial" w:hAnsiTheme="minorHAnsi" w:cs="Arial"/>
          <w:sz w:val="21"/>
          <w:szCs w:val="21"/>
        </w:rPr>
      </w:pPr>
      <w:r>
        <w:rPr>
          <w:rFonts w:asciiTheme="minorHAnsi" w:hAnsiTheme="minorHAnsi"/>
          <w:sz w:val="21"/>
          <w:szCs w:val="21"/>
        </w:rPr>
        <w:t>Le prestataire de services financiers doit préciser dans son offre si les moyens susmentionnés d’identité (cf. Section I - Contexte) sont valides pour recevoir les transferts, et s’ils sont conformes aux règlements en matière de connaissance de l’identité des clients. Le prestataire de services financiers doit sinon prescrire des solutions et des adaptations possibles pour faire en sorte que les services de transfert puissent être offerts aux bénéficiaires cibles.</w:t>
      </w:r>
    </w:p>
    <w:p w14:paraId="00000072" w14:textId="77777777" w:rsidR="00AA1640" w:rsidRPr="00B92CFB" w:rsidRDefault="002C0000">
      <w:pPr>
        <w:spacing w:before="100" w:after="12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D’autres documents d’identité peuvent être acceptés le cas échéant, tels que les passeports, permis de conduire, cartes d’identité, cartes d’inscription électorale, certificats de mariage ou de naissance, sous réserve des réglementations existantes.</w:t>
      </w:r>
    </w:p>
    <w:p w14:paraId="759A01C6" w14:textId="77777777" w:rsidR="00AD3673" w:rsidRDefault="009C2B44" w:rsidP="00AD3673">
      <w:pPr>
        <w:spacing w:before="100" w:after="120" w:line="240" w:lineRule="auto"/>
        <w:jc w:val="both"/>
        <w:rPr>
          <w:rFonts w:asciiTheme="minorHAnsi" w:hAnsiTheme="minorHAnsi"/>
          <w:color w:val="000000"/>
          <w:sz w:val="21"/>
          <w:szCs w:val="21"/>
        </w:rPr>
      </w:pPr>
      <w:r w:rsidRPr="00AD3673">
        <w:rPr>
          <w:rFonts w:asciiTheme="minorHAnsi" w:hAnsiTheme="minorHAnsi"/>
          <w:color w:val="000000"/>
          <w:sz w:val="21"/>
          <w:szCs w:val="21"/>
          <w:highlight w:val="yellow"/>
        </w:rPr>
        <w:t>L</w:t>
      </w:r>
      <w:r w:rsidR="002C0000" w:rsidRPr="00AD3673">
        <w:rPr>
          <w:rFonts w:asciiTheme="minorHAnsi" w:hAnsiTheme="minorHAnsi"/>
          <w:color w:val="000000"/>
          <w:sz w:val="21"/>
          <w:szCs w:val="21"/>
          <w:highlight w:val="yellow"/>
        </w:rPr>
        <w:t xml:space="preserve">e HCR fournira des instructions de paiement au prestataire de services financiers sous la forme d’un fichier crypté par le protocole de transfert de fichiers </w:t>
      </w:r>
      <w:proofErr w:type="gramStart"/>
      <w:r w:rsidR="002C0000" w:rsidRPr="00AD3673">
        <w:rPr>
          <w:rFonts w:asciiTheme="minorHAnsi" w:hAnsiTheme="minorHAnsi"/>
          <w:color w:val="000000"/>
          <w:sz w:val="21"/>
          <w:szCs w:val="21"/>
          <w:highlight w:val="yellow"/>
        </w:rPr>
        <w:t>sécurisé .</w:t>
      </w:r>
      <w:proofErr w:type="gramEnd"/>
      <w:r w:rsidR="002C0000" w:rsidRPr="00AD3673">
        <w:rPr>
          <w:rFonts w:asciiTheme="minorHAnsi" w:hAnsiTheme="minorHAnsi"/>
          <w:color w:val="000000"/>
          <w:sz w:val="21"/>
          <w:szCs w:val="21"/>
          <w:highlight w:val="yellow"/>
        </w:rPr>
        <w:t xml:space="preserve"> Les instructions de paiement comprendront, sans s’y limiter, l</w:t>
      </w:r>
      <w:r w:rsidR="00F014F6" w:rsidRPr="00AD3673">
        <w:rPr>
          <w:rFonts w:asciiTheme="minorHAnsi" w:hAnsiTheme="minorHAnsi"/>
          <w:color w:val="000000"/>
          <w:sz w:val="21"/>
          <w:szCs w:val="21"/>
          <w:highlight w:val="yellow"/>
        </w:rPr>
        <w:t xml:space="preserve">e nom du </w:t>
      </w:r>
      <w:proofErr w:type="gramStart"/>
      <w:r w:rsidR="00F014F6" w:rsidRPr="00AD3673">
        <w:rPr>
          <w:rFonts w:asciiTheme="minorHAnsi" w:hAnsiTheme="minorHAnsi"/>
          <w:color w:val="000000"/>
          <w:sz w:val="21"/>
          <w:szCs w:val="21"/>
          <w:highlight w:val="yellow"/>
        </w:rPr>
        <w:t>bénéficiaire ,</w:t>
      </w:r>
      <w:proofErr w:type="gramEnd"/>
      <w:r w:rsidR="00F014F6" w:rsidRPr="00AD3673">
        <w:rPr>
          <w:rFonts w:asciiTheme="minorHAnsi" w:hAnsiTheme="minorHAnsi"/>
          <w:color w:val="000000"/>
          <w:sz w:val="21"/>
          <w:szCs w:val="21"/>
          <w:highlight w:val="yellow"/>
        </w:rPr>
        <w:t xml:space="preserve"> son </w:t>
      </w:r>
      <w:r w:rsidR="002C0000" w:rsidRPr="00AD3673">
        <w:rPr>
          <w:rFonts w:asciiTheme="minorHAnsi" w:hAnsiTheme="minorHAnsi"/>
          <w:color w:val="000000"/>
          <w:sz w:val="21"/>
          <w:szCs w:val="21"/>
          <w:highlight w:val="yellow"/>
        </w:rPr>
        <w:t>identifiant</w:t>
      </w:r>
      <w:r w:rsidR="00F014F6" w:rsidRPr="00AD3673">
        <w:rPr>
          <w:rFonts w:asciiTheme="minorHAnsi" w:hAnsiTheme="minorHAnsi"/>
          <w:color w:val="000000"/>
          <w:sz w:val="21"/>
          <w:szCs w:val="21"/>
          <w:highlight w:val="yellow"/>
        </w:rPr>
        <w:t xml:space="preserve"> et le montant du transfert</w:t>
      </w:r>
      <w:r w:rsidR="002C0000" w:rsidRPr="00AD3673">
        <w:rPr>
          <w:rFonts w:asciiTheme="minorHAnsi" w:hAnsiTheme="minorHAnsi"/>
          <w:color w:val="000000"/>
          <w:sz w:val="21"/>
          <w:szCs w:val="21"/>
          <w:highlight w:val="yellow"/>
        </w:rPr>
        <w:t xml:space="preserve">. </w:t>
      </w:r>
      <w:r w:rsidR="00B30C85" w:rsidRPr="00AD3673">
        <w:rPr>
          <w:rFonts w:asciiTheme="minorHAnsi" w:hAnsiTheme="minorHAnsi"/>
          <w:color w:val="000000"/>
          <w:sz w:val="21"/>
          <w:szCs w:val="21"/>
          <w:highlight w:val="yellow"/>
        </w:rPr>
        <w:t xml:space="preserve">Dès réception de ce dossier, </w:t>
      </w:r>
      <w:r w:rsidR="002C0000" w:rsidRPr="00AD3673">
        <w:rPr>
          <w:rFonts w:asciiTheme="minorHAnsi" w:hAnsiTheme="minorHAnsi"/>
          <w:color w:val="000000"/>
          <w:sz w:val="21"/>
          <w:szCs w:val="21"/>
          <w:highlight w:val="yellow"/>
        </w:rPr>
        <w:t xml:space="preserve">le prestataire de services financiers </w:t>
      </w:r>
      <w:r w:rsidR="00AD3673" w:rsidRPr="00AD3673">
        <w:rPr>
          <w:rFonts w:asciiTheme="minorHAnsi" w:hAnsiTheme="minorHAnsi"/>
          <w:color w:val="000000"/>
          <w:sz w:val="21"/>
          <w:szCs w:val="21"/>
          <w:highlight w:val="yellow"/>
        </w:rPr>
        <w:t>procédera au versement de l'argent aux bénéficiaires ciblés.</w:t>
      </w:r>
      <w:r w:rsidR="00AD3673" w:rsidRPr="00AD3673">
        <w:rPr>
          <w:rFonts w:asciiTheme="minorHAnsi" w:hAnsiTheme="minorHAnsi"/>
          <w:color w:val="000000"/>
          <w:sz w:val="21"/>
          <w:szCs w:val="21"/>
        </w:rPr>
        <w:t xml:space="preserve"> </w:t>
      </w:r>
    </w:p>
    <w:p w14:paraId="00000075" w14:textId="1BB47931" w:rsidR="00AA1640" w:rsidRPr="00B92CFB" w:rsidRDefault="002C0000" w:rsidP="00AD3673">
      <w:pPr>
        <w:spacing w:before="100" w:after="12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 xml:space="preserve">Tous les transferts de données doivent être cryptés, contenir des vérifications de l’intégrité, et être envoyés par l’intermédiaire de lignes sécurisées utilisant des protocoles, notamment API, </w:t>
      </w:r>
      <w:r>
        <w:rPr>
          <w:rFonts w:asciiTheme="minorHAnsi" w:hAnsiTheme="minorHAnsi"/>
          <w:i/>
          <w:iCs/>
          <w:color w:val="000000"/>
          <w:sz w:val="21"/>
          <w:szCs w:val="21"/>
        </w:rPr>
        <w:t>Host to Host</w:t>
      </w:r>
      <w:r>
        <w:rPr>
          <w:rFonts w:asciiTheme="minorHAnsi" w:hAnsiTheme="minorHAnsi"/>
          <w:color w:val="000000"/>
          <w:sz w:val="21"/>
          <w:szCs w:val="21"/>
        </w:rPr>
        <w:t xml:space="preserve"> et SFTP.</w:t>
      </w:r>
      <w:r w:rsidR="00063B2D">
        <w:rPr>
          <w:rFonts w:asciiTheme="minorHAnsi" w:hAnsiTheme="minorHAnsi"/>
          <w:color w:val="000000"/>
          <w:sz w:val="21"/>
          <w:szCs w:val="21"/>
        </w:rPr>
        <w:t xml:space="preserve"> </w:t>
      </w:r>
      <w:r>
        <w:rPr>
          <w:rFonts w:asciiTheme="minorHAnsi" w:hAnsiTheme="minorHAnsi"/>
          <w:color w:val="000000"/>
          <w:sz w:val="21"/>
          <w:szCs w:val="21"/>
        </w:rPr>
        <w:t>Le prestataire doit offrir des renseignements détaillés concernant les mesures de sécurité qu’il utilise.</w:t>
      </w:r>
    </w:p>
    <w:p w14:paraId="0D622407" w14:textId="77777777" w:rsidR="00B92CFB" w:rsidRDefault="00B92CFB">
      <w:pPr>
        <w:spacing w:after="0" w:line="240" w:lineRule="auto"/>
        <w:jc w:val="both"/>
        <w:rPr>
          <w:rFonts w:asciiTheme="minorHAnsi" w:eastAsia="Arial" w:hAnsiTheme="minorHAnsi" w:cs="Arial"/>
          <w:b/>
          <w:color w:val="1F3864"/>
          <w:sz w:val="21"/>
          <w:szCs w:val="21"/>
          <w:u w:val="single"/>
        </w:rPr>
      </w:pPr>
    </w:p>
    <w:p w14:paraId="00000078" w14:textId="77777777" w:rsidR="00AA1640" w:rsidRPr="00B92CFB" w:rsidRDefault="002C0000">
      <w:pPr>
        <w:spacing w:after="0" w:line="240" w:lineRule="auto"/>
        <w:jc w:val="both"/>
        <w:rPr>
          <w:rFonts w:asciiTheme="minorHAnsi" w:eastAsia="Arial" w:hAnsiTheme="minorHAnsi" w:cs="Arial"/>
          <w:color w:val="1F3864"/>
          <w:sz w:val="21"/>
          <w:szCs w:val="21"/>
        </w:rPr>
      </w:pPr>
      <w:r>
        <w:rPr>
          <w:rFonts w:asciiTheme="minorHAnsi" w:hAnsiTheme="minorHAnsi"/>
          <w:b/>
          <w:color w:val="1F3864"/>
          <w:u w:val="single"/>
        </w:rPr>
        <w:t>VI. Service client dédié</w:t>
      </w:r>
      <w:r>
        <w:rPr>
          <w:rFonts w:asciiTheme="minorHAnsi" w:hAnsiTheme="minorHAnsi"/>
          <w:b/>
          <w:color w:val="1F3864"/>
          <w:sz w:val="21"/>
          <w:szCs w:val="21"/>
          <w:u w:val="single"/>
        </w:rPr>
        <w:t xml:space="preserve"> </w:t>
      </w:r>
    </w:p>
    <w:p w14:paraId="00000079" w14:textId="3DC58EC8" w:rsidR="00AA1640" w:rsidRPr="00B92CFB" w:rsidRDefault="002C0000" w:rsidP="00F7152B">
      <w:pPr>
        <w:spacing w:after="12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Le prestataire de services financiers doit pouvoir offrir un service dédié au HCR, notamment l’offre d’un point focal dédié à la gestion du présent projet, à la réponse aux questions et au règlement de tout problème technique dans un délai raisonnable. Le prestataire de services financiers doit être disponible pour offrir ce soutien lors des heures normales de bureau.</w:t>
      </w:r>
      <w:r w:rsidR="00063B2D">
        <w:rPr>
          <w:rFonts w:asciiTheme="minorHAnsi" w:hAnsiTheme="minorHAnsi"/>
          <w:color w:val="000000"/>
          <w:sz w:val="21"/>
          <w:szCs w:val="21"/>
        </w:rPr>
        <w:t xml:space="preserve"> </w:t>
      </w:r>
      <w:r>
        <w:rPr>
          <w:rFonts w:asciiTheme="minorHAnsi" w:hAnsiTheme="minorHAnsi"/>
          <w:color w:val="000000"/>
          <w:sz w:val="21"/>
          <w:szCs w:val="21"/>
        </w:rPr>
        <w:t>Les voies de communication et les mécanismes de rapport doivent être établis pour assurer le règlement efficace des questions.</w:t>
      </w:r>
    </w:p>
    <w:p w14:paraId="07751203" w14:textId="128668A8" w:rsidR="00011E00" w:rsidRPr="00B92CFB" w:rsidRDefault="002C0000">
      <w:pPr>
        <w:spacing w:before="100" w:after="120" w:line="240" w:lineRule="auto"/>
        <w:jc w:val="both"/>
        <w:rPr>
          <w:rFonts w:asciiTheme="minorHAnsi" w:eastAsia="Arial" w:hAnsiTheme="minorHAnsi" w:cs="Arial"/>
          <w:color w:val="C00000"/>
          <w:sz w:val="21"/>
          <w:szCs w:val="21"/>
        </w:rPr>
      </w:pPr>
      <w:r>
        <w:rPr>
          <w:rFonts w:asciiTheme="minorHAnsi" w:hAnsiTheme="minorHAnsi"/>
          <w:sz w:val="21"/>
          <w:szCs w:val="21"/>
        </w:rPr>
        <w:t>Un service de téléassistance par téléphone, ou une alternative adéquate déterminée en fonction des préférences de communication de la population, dédié aux bénéficiaires individuels</w:t>
      </w:r>
      <w:r>
        <w:rPr>
          <w:rFonts w:asciiTheme="minorHAnsi" w:hAnsiTheme="minorHAnsi"/>
          <w:color w:val="C00000"/>
          <w:sz w:val="21"/>
          <w:szCs w:val="21"/>
        </w:rPr>
        <w:t xml:space="preserve"> </w:t>
      </w:r>
      <w:r>
        <w:rPr>
          <w:rFonts w:asciiTheme="minorHAnsi" w:hAnsiTheme="minorHAnsi"/>
          <w:color w:val="000000"/>
          <w:sz w:val="21"/>
          <w:szCs w:val="21"/>
        </w:rPr>
        <w:t>doit être inclus, en particulier dans le cas de la perte ou du vol des moyens de retrait ou d’autres problèmes techniques.</w:t>
      </w:r>
      <w:r w:rsidR="00063B2D">
        <w:rPr>
          <w:rFonts w:asciiTheme="minorHAnsi" w:hAnsiTheme="minorHAnsi"/>
          <w:color w:val="000000"/>
          <w:sz w:val="21"/>
          <w:szCs w:val="21"/>
        </w:rPr>
        <w:t xml:space="preserve"> </w:t>
      </w:r>
      <w:r>
        <w:rPr>
          <w:rFonts w:asciiTheme="minorHAnsi" w:hAnsiTheme="minorHAnsi"/>
          <w:color w:val="000000"/>
          <w:sz w:val="21"/>
          <w:szCs w:val="21"/>
        </w:rPr>
        <w:t>Un service de téléassistance par téléphone, ou une alternative adéquate, et, si nécessaire, un accès en ligne doivent être inclus pour le personnel du HCR et à d’autres organisations autorisées par le HCR, qui utiliseront ce service pour régler les problèmes urgents relatifs à l’exécution du service.</w:t>
      </w:r>
      <w:r w:rsidR="00063B2D">
        <w:rPr>
          <w:rFonts w:asciiTheme="minorHAnsi" w:hAnsiTheme="minorHAnsi"/>
          <w:color w:val="000000"/>
          <w:sz w:val="21"/>
          <w:szCs w:val="21"/>
        </w:rPr>
        <w:t xml:space="preserve"> </w:t>
      </w:r>
      <w:r>
        <w:rPr>
          <w:rFonts w:asciiTheme="minorHAnsi" w:hAnsiTheme="minorHAnsi"/>
          <w:sz w:val="21"/>
          <w:szCs w:val="21"/>
        </w:rPr>
        <w:t xml:space="preserve">Dans la mesure du possible, ce service de téléassistance doit être accessible 24 heures sur 24, en </w:t>
      </w:r>
      <w:r w:rsidR="008665D2" w:rsidRPr="008665D2">
        <w:rPr>
          <w:rFonts w:asciiTheme="minorHAnsi" w:eastAsia="Arial" w:hAnsiTheme="minorHAnsi" w:cs="Arial"/>
          <w:color w:val="000000"/>
          <w:sz w:val="21"/>
          <w:szCs w:val="21"/>
          <w:highlight w:val="yellow"/>
        </w:rPr>
        <w:t>Tamashek, Arab</w:t>
      </w:r>
      <w:r w:rsidR="008665D2">
        <w:rPr>
          <w:rFonts w:asciiTheme="minorHAnsi" w:eastAsia="Arial" w:hAnsiTheme="minorHAnsi" w:cs="Arial"/>
          <w:color w:val="000000"/>
          <w:sz w:val="21"/>
          <w:szCs w:val="21"/>
          <w:highlight w:val="yellow"/>
        </w:rPr>
        <w:t>e</w:t>
      </w:r>
      <w:r w:rsidR="008665D2" w:rsidRPr="008665D2">
        <w:rPr>
          <w:rFonts w:asciiTheme="minorHAnsi" w:eastAsia="Arial" w:hAnsiTheme="minorHAnsi" w:cs="Arial"/>
          <w:color w:val="000000"/>
          <w:sz w:val="21"/>
          <w:szCs w:val="21"/>
          <w:highlight w:val="yellow"/>
        </w:rPr>
        <w:t>, Bambara, Fr</w:t>
      </w:r>
      <w:r w:rsidR="008665D2">
        <w:rPr>
          <w:rFonts w:asciiTheme="minorHAnsi" w:eastAsia="Arial" w:hAnsiTheme="minorHAnsi" w:cs="Arial"/>
          <w:color w:val="000000"/>
          <w:sz w:val="21"/>
          <w:szCs w:val="21"/>
        </w:rPr>
        <w:t>ançais</w:t>
      </w:r>
      <w:r>
        <w:rPr>
          <w:rFonts w:asciiTheme="minorHAnsi" w:hAnsiTheme="minorHAnsi"/>
          <w:i/>
          <w:color w:val="C00000"/>
          <w:sz w:val="21"/>
          <w:szCs w:val="21"/>
        </w:rPr>
        <w:t xml:space="preserve">. </w:t>
      </w:r>
      <w:r>
        <w:rPr>
          <w:rFonts w:asciiTheme="minorHAnsi" w:hAnsiTheme="minorHAnsi"/>
          <w:sz w:val="21"/>
          <w:szCs w:val="21"/>
        </w:rPr>
        <w:t>Des procédures opérationnelles standards doivent être élaborées pour gérer de manière adéquate les réclamations non liées aux interventions monétaires ou les informations sensibles qui peuvent être partagées par le biais des voies de communication établies par le prestataire de services.</w:t>
      </w:r>
    </w:p>
    <w:p w14:paraId="31F283CE" w14:textId="66271B1E" w:rsidR="00E61BCD" w:rsidRPr="00B92CFB" w:rsidRDefault="002C0000" w:rsidP="00E61BCD">
      <w:pPr>
        <w:spacing w:before="100" w:after="120" w:line="240" w:lineRule="auto"/>
        <w:jc w:val="both"/>
        <w:rPr>
          <w:rFonts w:asciiTheme="minorHAnsi" w:eastAsia="Arial" w:hAnsiTheme="minorHAnsi" w:cs="Arial"/>
          <w:sz w:val="21"/>
          <w:szCs w:val="21"/>
        </w:rPr>
      </w:pPr>
      <w:r>
        <w:rPr>
          <w:rFonts w:asciiTheme="minorHAnsi" w:hAnsiTheme="minorHAnsi"/>
          <w:sz w:val="21"/>
          <w:szCs w:val="21"/>
        </w:rPr>
        <w:t xml:space="preserve">Le prestataire de services financiers doit pouvoir offrir des séances de formation et/ou documents de référence aux bénéficiaires afin de leur expliquer comment accéder à leurs fonds et résoudre les problèmes de service client. </w:t>
      </w:r>
    </w:p>
    <w:p w14:paraId="0000007C" w14:textId="6B35BFAC" w:rsidR="00AA1640" w:rsidRPr="00B92CFB" w:rsidRDefault="002C0000" w:rsidP="00E61BCD">
      <w:pPr>
        <w:spacing w:before="100" w:after="0" w:line="240" w:lineRule="auto"/>
        <w:jc w:val="both"/>
        <w:rPr>
          <w:rFonts w:asciiTheme="minorHAnsi" w:eastAsia="Arial" w:hAnsiTheme="minorHAnsi" w:cs="Arial"/>
          <w:sz w:val="21"/>
          <w:szCs w:val="21"/>
        </w:rPr>
      </w:pPr>
      <w:r>
        <w:rPr>
          <w:rFonts w:asciiTheme="minorHAnsi" w:hAnsiTheme="minorHAnsi"/>
          <w:sz w:val="21"/>
          <w:szCs w:val="21"/>
        </w:rPr>
        <w:lastRenderedPageBreak/>
        <w:t>Le prestataire de services financiers doit s’assurer que son personnel/ses agents participent à une séance de sensibilisation organisée par le HCR ou ses partenaires sur la fourniture de services aux person</w:t>
      </w:r>
      <w:sdt>
        <w:sdtPr>
          <w:rPr>
            <w:rFonts w:asciiTheme="minorHAnsi" w:hAnsiTheme="minorHAnsi"/>
            <w:sz w:val="21"/>
            <w:szCs w:val="21"/>
          </w:rPr>
          <w:tag w:val="goog_rdk_20"/>
          <w:id w:val="-1423174759"/>
        </w:sdtPr>
        <w:sdtContent/>
      </w:sdt>
      <w:r>
        <w:rPr>
          <w:rFonts w:asciiTheme="minorHAnsi" w:hAnsiTheme="minorHAnsi"/>
          <w:sz w:val="21"/>
          <w:szCs w:val="21"/>
        </w:rPr>
        <w:t>nes relevant de sa compétence, et proposer une formation adaptée à son personnel/ses agents sur la prévention de la fraude et la prévention de l’exploitation et des sévices sexuels.</w:t>
      </w:r>
    </w:p>
    <w:p w14:paraId="0000007D" w14:textId="77777777" w:rsidR="00AA1640" w:rsidRPr="00B92CFB" w:rsidRDefault="00AA1640">
      <w:pPr>
        <w:spacing w:after="0" w:line="240" w:lineRule="auto"/>
        <w:jc w:val="both"/>
        <w:rPr>
          <w:rFonts w:asciiTheme="minorHAnsi" w:eastAsia="Arial" w:hAnsiTheme="minorHAnsi" w:cs="Arial"/>
          <w:b/>
          <w:color w:val="1F3864"/>
          <w:sz w:val="21"/>
          <w:szCs w:val="21"/>
          <w:u w:val="single"/>
        </w:rPr>
      </w:pPr>
    </w:p>
    <w:p w14:paraId="0000007E" w14:textId="77777777" w:rsidR="00AA1640" w:rsidRPr="00B92CFB" w:rsidRDefault="002C0000" w:rsidP="00F7152B">
      <w:pPr>
        <w:spacing w:after="0" w:line="240" w:lineRule="auto"/>
        <w:jc w:val="both"/>
        <w:rPr>
          <w:rFonts w:asciiTheme="minorHAnsi" w:eastAsia="Arial" w:hAnsiTheme="minorHAnsi" w:cs="Arial"/>
          <w:color w:val="1F3864"/>
          <w:u w:val="single"/>
        </w:rPr>
      </w:pPr>
      <w:r>
        <w:rPr>
          <w:rFonts w:asciiTheme="minorHAnsi" w:hAnsiTheme="minorHAnsi"/>
          <w:b/>
          <w:color w:val="1F3864"/>
          <w:u w:val="single"/>
        </w:rPr>
        <w:t>VII. Intégration au système de planification des ressources d’entreprise (ERP) du HCR pour la présentation des paiements</w:t>
      </w:r>
    </w:p>
    <w:p w14:paraId="0000007F" w14:textId="77777777" w:rsidR="00AA1640" w:rsidRPr="00B92CFB" w:rsidRDefault="002C0000" w:rsidP="009E0858">
      <w:pPr>
        <w:spacing w:after="0" w:line="240" w:lineRule="auto"/>
        <w:jc w:val="both"/>
        <w:rPr>
          <w:rFonts w:asciiTheme="minorHAnsi" w:eastAsia="Arial" w:hAnsiTheme="minorHAnsi" w:cs="Arial"/>
          <w:sz w:val="21"/>
          <w:szCs w:val="21"/>
        </w:rPr>
      </w:pPr>
      <w:r>
        <w:rPr>
          <w:rFonts w:asciiTheme="minorHAnsi" w:hAnsiTheme="minorHAnsi"/>
          <w:sz w:val="21"/>
          <w:szCs w:val="21"/>
        </w:rPr>
        <w:t>Lorsqu’il convient d’utiliser le système d’EPR du HCR ou toute autre application de calcul des paiements, cette section détaille les exigences minimales applicables à l’intégration entre les systèmes du prestataire de services financiers et le HCR par le biais de deux méthodes d’interface simples :</w:t>
      </w:r>
    </w:p>
    <w:p w14:paraId="24E9999D" w14:textId="77777777" w:rsidR="007F36FC" w:rsidRPr="00B92CFB" w:rsidRDefault="007F36FC" w:rsidP="009E0858">
      <w:pPr>
        <w:spacing w:after="0" w:line="240" w:lineRule="auto"/>
        <w:jc w:val="both"/>
        <w:rPr>
          <w:rFonts w:asciiTheme="minorHAnsi" w:eastAsia="Arial" w:hAnsiTheme="minorHAnsi" w:cs="Arial"/>
          <w:sz w:val="21"/>
          <w:szCs w:val="21"/>
        </w:rPr>
      </w:pPr>
    </w:p>
    <w:p w14:paraId="00000080" w14:textId="77777777" w:rsidR="00AA1640" w:rsidRPr="00B92CFB" w:rsidRDefault="002C0000" w:rsidP="009E0858">
      <w:pPr>
        <w:numPr>
          <w:ilvl w:val="0"/>
          <w:numId w:val="4"/>
        </w:numPr>
        <w:pBdr>
          <w:top w:val="nil"/>
          <w:left w:val="nil"/>
          <w:bottom w:val="nil"/>
          <w:right w:val="nil"/>
          <w:between w:val="nil"/>
        </w:pBdr>
        <w:spacing w:after="0" w:line="240" w:lineRule="auto"/>
        <w:ind w:left="284" w:hanging="295"/>
        <w:jc w:val="both"/>
        <w:rPr>
          <w:rFonts w:asciiTheme="minorHAnsi" w:eastAsia="Arial" w:hAnsiTheme="minorHAnsi" w:cs="Arial"/>
          <w:color w:val="000000"/>
          <w:sz w:val="21"/>
          <w:szCs w:val="21"/>
          <w:u w:val="single"/>
        </w:rPr>
      </w:pPr>
      <w:r>
        <w:rPr>
          <w:rFonts w:asciiTheme="minorHAnsi" w:hAnsiTheme="minorHAnsi"/>
          <w:color w:val="000000"/>
          <w:sz w:val="21"/>
          <w:szCs w:val="21"/>
          <w:u w:val="single"/>
        </w:rPr>
        <w:t>Intégration des interfaces de programmation d’applications (API)</w:t>
      </w:r>
    </w:p>
    <w:p w14:paraId="00000081" w14:textId="77777777" w:rsidR="00AA1640" w:rsidRPr="00B92CFB" w:rsidRDefault="002C0000" w:rsidP="009E0858">
      <w:pPr>
        <w:numPr>
          <w:ilvl w:val="1"/>
          <w:numId w:val="4"/>
        </w:numPr>
        <w:pBdr>
          <w:top w:val="nil"/>
          <w:left w:val="nil"/>
          <w:bottom w:val="nil"/>
          <w:right w:val="nil"/>
          <w:between w:val="nil"/>
        </w:pBdr>
        <w:spacing w:after="0" w:line="240" w:lineRule="auto"/>
        <w:ind w:left="709"/>
        <w:jc w:val="both"/>
        <w:rPr>
          <w:rFonts w:asciiTheme="minorHAnsi" w:eastAsia="Arial" w:hAnsiTheme="minorHAnsi" w:cs="Arial"/>
          <w:color w:val="000000"/>
          <w:sz w:val="21"/>
          <w:szCs w:val="21"/>
        </w:rPr>
      </w:pPr>
      <w:r>
        <w:rPr>
          <w:rFonts w:asciiTheme="minorHAnsi" w:hAnsiTheme="minorHAnsi"/>
          <w:color w:val="000000"/>
          <w:sz w:val="21"/>
          <w:szCs w:val="21"/>
        </w:rPr>
        <w:t>Le HCR exige une spécification claire du type d’interface à utiliser, les détails complets, ainsi que des données requises et renvoyées. Les domaines exacts seront déterminés en collaboration avec le prestataire de services financiers lors de l’intégration (cf. Annexe H - Dictionnaire des données pour en savoir plus).</w:t>
      </w:r>
    </w:p>
    <w:p w14:paraId="00000082" w14:textId="77777777" w:rsidR="00AA1640" w:rsidRPr="00865CB1" w:rsidRDefault="002C0000" w:rsidP="009E0858">
      <w:pPr>
        <w:numPr>
          <w:ilvl w:val="0"/>
          <w:numId w:val="4"/>
        </w:numPr>
        <w:pBdr>
          <w:top w:val="nil"/>
          <w:left w:val="nil"/>
          <w:bottom w:val="nil"/>
          <w:right w:val="nil"/>
          <w:between w:val="nil"/>
        </w:pBdr>
        <w:spacing w:after="0" w:line="240" w:lineRule="auto"/>
        <w:ind w:left="284" w:hanging="295"/>
        <w:jc w:val="both"/>
        <w:rPr>
          <w:rFonts w:asciiTheme="minorHAnsi" w:eastAsia="Arial" w:hAnsiTheme="minorHAnsi" w:cs="Arial"/>
          <w:color w:val="000000"/>
          <w:sz w:val="21"/>
          <w:szCs w:val="21"/>
          <w:u w:val="single"/>
          <w:lang w:val="en-GB"/>
        </w:rPr>
      </w:pPr>
      <w:proofErr w:type="spellStart"/>
      <w:r w:rsidRPr="00865CB1">
        <w:rPr>
          <w:rFonts w:asciiTheme="minorHAnsi" w:hAnsiTheme="minorHAnsi"/>
          <w:color w:val="000000"/>
          <w:sz w:val="21"/>
          <w:szCs w:val="21"/>
          <w:u w:val="single"/>
          <w:lang w:val="en-GB"/>
        </w:rPr>
        <w:t>Protocoles</w:t>
      </w:r>
      <w:proofErr w:type="spellEnd"/>
      <w:r w:rsidRPr="00865CB1">
        <w:rPr>
          <w:rFonts w:asciiTheme="minorHAnsi" w:hAnsiTheme="minorHAnsi"/>
          <w:color w:val="000000"/>
          <w:sz w:val="21"/>
          <w:szCs w:val="21"/>
          <w:u w:val="single"/>
          <w:lang w:val="en-GB"/>
        </w:rPr>
        <w:t xml:space="preserve"> SFTP et </w:t>
      </w:r>
      <w:r w:rsidRPr="00865CB1">
        <w:rPr>
          <w:rFonts w:asciiTheme="minorHAnsi" w:hAnsiTheme="minorHAnsi"/>
          <w:i/>
          <w:iCs/>
          <w:color w:val="000000"/>
          <w:sz w:val="21"/>
          <w:szCs w:val="21"/>
          <w:u w:val="single"/>
          <w:lang w:val="en-GB"/>
        </w:rPr>
        <w:t>Host to Host</w:t>
      </w:r>
    </w:p>
    <w:p w14:paraId="00000083" w14:textId="77777777" w:rsidR="00AA1640" w:rsidRPr="00B92CFB" w:rsidRDefault="002C0000" w:rsidP="009E0858">
      <w:pPr>
        <w:numPr>
          <w:ilvl w:val="1"/>
          <w:numId w:val="4"/>
        </w:numPr>
        <w:pBdr>
          <w:top w:val="nil"/>
          <w:left w:val="nil"/>
          <w:bottom w:val="nil"/>
          <w:right w:val="nil"/>
          <w:between w:val="nil"/>
        </w:pBdr>
        <w:spacing w:after="0" w:line="240" w:lineRule="auto"/>
        <w:ind w:left="709"/>
        <w:jc w:val="both"/>
        <w:rPr>
          <w:rFonts w:asciiTheme="minorHAnsi" w:eastAsia="Arial" w:hAnsiTheme="minorHAnsi" w:cs="Arial"/>
          <w:color w:val="000000"/>
          <w:sz w:val="21"/>
          <w:szCs w:val="21"/>
        </w:rPr>
      </w:pPr>
      <w:r>
        <w:rPr>
          <w:rFonts w:asciiTheme="minorHAnsi" w:hAnsiTheme="minorHAnsi"/>
          <w:color w:val="000000"/>
          <w:sz w:val="21"/>
          <w:szCs w:val="21"/>
        </w:rPr>
        <w:t xml:space="preserve">Le HCR devra mettre en place une connexion </w:t>
      </w:r>
      <w:r>
        <w:rPr>
          <w:rFonts w:asciiTheme="minorHAnsi" w:hAnsiTheme="minorHAnsi"/>
          <w:i/>
          <w:iCs/>
          <w:color w:val="000000"/>
          <w:sz w:val="21"/>
          <w:szCs w:val="21"/>
        </w:rPr>
        <w:t>host to host</w:t>
      </w:r>
      <w:r>
        <w:rPr>
          <w:rFonts w:asciiTheme="minorHAnsi" w:hAnsiTheme="minorHAnsi"/>
          <w:color w:val="000000"/>
          <w:sz w:val="21"/>
          <w:szCs w:val="21"/>
        </w:rPr>
        <w:t xml:space="preserve"> et envoyer des fichiers de paiement depuis son système d’ERP par le biais d’un transfert électronique de fichiers. </w:t>
      </w:r>
    </w:p>
    <w:p w14:paraId="00000084" w14:textId="77777777" w:rsidR="00AA1640" w:rsidRPr="00B92CFB" w:rsidRDefault="002C0000" w:rsidP="009E0858">
      <w:pPr>
        <w:numPr>
          <w:ilvl w:val="1"/>
          <w:numId w:val="4"/>
        </w:numPr>
        <w:pBdr>
          <w:top w:val="nil"/>
          <w:left w:val="nil"/>
          <w:bottom w:val="nil"/>
          <w:right w:val="nil"/>
          <w:between w:val="nil"/>
        </w:pBdr>
        <w:spacing w:after="0" w:line="240" w:lineRule="auto"/>
        <w:ind w:left="709"/>
        <w:jc w:val="both"/>
        <w:rPr>
          <w:rFonts w:asciiTheme="minorHAnsi" w:eastAsia="Arial" w:hAnsiTheme="minorHAnsi" w:cs="Arial"/>
          <w:color w:val="000000"/>
          <w:sz w:val="21"/>
          <w:szCs w:val="21"/>
        </w:rPr>
      </w:pPr>
      <w:r>
        <w:rPr>
          <w:rFonts w:asciiTheme="minorHAnsi" w:hAnsiTheme="minorHAnsi"/>
          <w:color w:val="000000"/>
          <w:sz w:val="21"/>
          <w:szCs w:val="21"/>
        </w:rPr>
        <w:t xml:space="preserve">La connectivité entre les hôtes sera établie de manière sécurisée et les fichiers seront cryptés et envoyés au format XML. </w:t>
      </w:r>
    </w:p>
    <w:p w14:paraId="00000085" w14:textId="77777777" w:rsidR="00AA1640" w:rsidRPr="00B92CFB" w:rsidRDefault="002C0000" w:rsidP="009E0858">
      <w:pPr>
        <w:numPr>
          <w:ilvl w:val="1"/>
          <w:numId w:val="4"/>
        </w:numPr>
        <w:pBdr>
          <w:top w:val="nil"/>
          <w:left w:val="nil"/>
          <w:bottom w:val="nil"/>
          <w:right w:val="nil"/>
          <w:between w:val="nil"/>
        </w:pBdr>
        <w:spacing w:after="0" w:line="240" w:lineRule="auto"/>
        <w:ind w:left="709"/>
        <w:jc w:val="both"/>
        <w:rPr>
          <w:rFonts w:asciiTheme="minorHAnsi" w:eastAsia="Arial" w:hAnsiTheme="minorHAnsi" w:cs="Arial"/>
          <w:color w:val="000000"/>
          <w:sz w:val="21"/>
          <w:szCs w:val="21"/>
        </w:rPr>
      </w:pPr>
      <w:r>
        <w:rPr>
          <w:rFonts w:asciiTheme="minorHAnsi" w:hAnsiTheme="minorHAnsi"/>
          <w:color w:val="000000"/>
          <w:sz w:val="21"/>
          <w:szCs w:val="21"/>
        </w:rPr>
        <w:t>Le HCR souhaite également une réponse du prestataire de services financiers quant à l’avancée de l’exécution.</w:t>
      </w:r>
    </w:p>
    <w:p w14:paraId="00000086" w14:textId="77777777" w:rsidR="00AA1640" w:rsidRPr="00B92CFB" w:rsidRDefault="002C0000" w:rsidP="009E0858">
      <w:pPr>
        <w:numPr>
          <w:ilvl w:val="1"/>
          <w:numId w:val="4"/>
        </w:numPr>
        <w:pBdr>
          <w:top w:val="nil"/>
          <w:left w:val="nil"/>
          <w:bottom w:val="nil"/>
          <w:right w:val="nil"/>
          <w:between w:val="nil"/>
        </w:pBdr>
        <w:spacing w:after="0" w:line="240" w:lineRule="auto"/>
        <w:ind w:left="709"/>
        <w:jc w:val="both"/>
        <w:rPr>
          <w:rFonts w:asciiTheme="minorHAnsi" w:eastAsia="Arial" w:hAnsiTheme="minorHAnsi" w:cs="Arial"/>
          <w:color w:val="000000"/>
          <w:sz w:val="21"/>
          <w:szCs w:val="21"/>
        </w:rPr>
      </w:pPr>
      <w:r>
        <w:rPr>
          <w:rFonts w:asciiTheme="minorHAnsi" w:hAnsiTheme="minorHAnsi"/>
          <w:color w:val="000000"/>
          <w:sz w:val="21"/>
          <w:szCs w:val="21"/>
        </w:rPr>
        <w:t>Les domaines exacts seront déterminés en collaboration avec le prestataire de services financiers lors de l’intégration.</w:t>
      </w:r>
    </w:p>
    <w:p w14:paraId="00000087" w14:textId="77777777" w:rsidR="00AA1640" w:rsidRPr="00B92CFB" w:rsidRDefault="00AA1640" w:rsidP="009E0858">
      <w:pPr>
        <w:spacing w:after="0" w:line="240" w:lineRule="auto"/>
        <w:jc w:val="both"/>
        <w:rPr>
          <w:rFonts w:asciiTheme="minorHAnsi" w:eastAsia="Arial" w:hAnsiTheme="minorHAnsi" w:cs="Arial"/>
          <w:sz w:val="21"/>
          <w:szCs w:val="21"/>
        </w:rPr>
      </w:pPr>
    </w:p>
    <w:p w14:paraId="00000088" w14:textId="77777777" w:rsidR="00AA1640" w:rsidRPr="00B92CFB" w:rsidRDefault="002C0000" w:rsidP="009E0858">
      <w:pPr>
        <w:spacing w:after="0" w:line="240" w:lineRule="auto"/>
        <w:jc w:val="both"/>
        <w:rPr>
          <w:rFonts w:asciiTheme="minorHAnsi" w:eastAsia="Arial" w:hAnsiTheme="minorHAnsi" w:cs="Arial"/>
          <w:sz w:val="21"/>
          <w:szCs w:val="21"/>
        </w:rPr>
      </w:pPr>
      <w:r>
        <w:rPr>
          <w:rFonts w:asciiTheme="minorHAnsi" w:hAnsiTheme="minorHAnsi"/>
          <w:sz w:val="21"/>
          <w:szCs w:val="21"/>
        </w:rPr>
        <w:t>En outre :</w:t>
      </w:r>
    </w:p>
    <w:p w14:paraId="00000089" w14:textId="77777777" w:rsidR="00AA1640" w:rsidRPr="00B92CFB" w:rsidRDefault="002C0000" w:rsidP="009E0858">
      <w:pPr>
        <w:numPr>
          <w:ilvl w:val="0"/>
          <w:numId w:val="1"/>
        </w:numPr>
        <w:pBdr>
          <w:top w:val="nil"/>
          <w:left w:val="nil"/>
          <w:bottom w:val="nil"/>
          <w:right w:val="nil"/>
          <w:between w:val="nil"/>
        </w:pBdr>
        <w:spacing w:after="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 xml:space="preserve">Le prestataire de services financiers doit mettre en place un environnement d’intégration de simulation/de test au cours de la phase de test, puis un serveur de production sécurisé au moment du lancement. </w:t>
      </w:r>
    </w:p>
    <w:p w14:paraId="0000008A" w14:textId="77777777" w:rsidR="00AA1640" w:rsidRPr="00B92CFB" w:rsidRDefault="002C0000" w:rsidP="009E0858">
      <w:pPr>
        <w:numPr>
          <w:ilvl w:val="0"/>
          <w:numId w:val="1"/>
        </w:numPr>
        <w:pBdr>
          <w:top w:val="nil"/>
          <w:left w:val="nil"/>
          <w:bottom w:val="nil"/>
          <w:right w:val="nil"/>
          <w:between w:val="nil"/>
        </w:pBdr>
        <w:spacing w:after="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Le prestataire de services financiers communiquera toutes les données nécessaires au test complet, y compris les comptes tests des bénéficiaires, les numéros des comptes tests associés aux cartes de droits tests et aux portefeuilles tests.</w:t>
      </w:r>
    </w:p>
    <w:p w14:paraId="0000008B" w14:textId="77777777" w:rsidR="00AA1640" w:rsidRPr="00B92CFB" w:rsidRDefault="002C0000" w:rsidP="009E0858">
      <w:pPr>
        <w:numPr>
          <w:ilvl w:val="0"/>
          <w:numId w:val="1"/>
        </w:numPr>
        <w:pBdr>
          <w:top w:val="nil"/>
          <w:left w:val="nil"/>
          <w:bottom w:val="nil"/>
          <w:right w:val="nil"/>
          <w:between w:val="nil"/>
        </w:pBdr>
        <w:spacing w:after="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Dès que possible, le HCR souhaite utiliser la norme ISO 20022 dans le cadre de la communication et l’échange de données avec le prestataire de services financiers.</w:t>
      </w:r>
    </w:p>
    <w:p w14:paraId="0000008C" w14:textId="77777777" w:rsidR="00AA1640" w:rsidRPr="00B92CFB" w:rsidRDefault="002C0000" w:rsidP="009E0858">
      <w:pPr>
        <w:numPr>
          <w:ilvl w:val="0"/>
          <w:numId w:val="1"/>
        </w:numPr>
        <w:pBdr>
          <w:top w:val="nil"/>
          <w:left w:val="nil"/>
          <w:bottom w:val="nil"/>
          <w:right w:val="nil"/>
          <w:between w:val="nil"/>
        </w:pBdr>
        <w:spacing w:after="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Les alternatives à la norme ISO 20022 seront étudiées, mais doivent satisfaire aux exigences minimales d’intégration du HCR (cf. Annexe H - Dictionnaire des données).</w:t>
      </w:r>
    </w:p>
    <w:p w14:paraId="0000008D" w14:textId="1139F6A9" w:rsidR="00AA1640" w:rsidRPr="00B92CFB" w:rsidRDefault="002C0000" w:rsidP="009E0858">
      <w:pPr>
        <w:numPr>
          <w:ilvl w:val="0"/>
          <w:numId w:val="1"/>
        </w:numPr>
        <w:pBdr>
          <w:top w:val="nil"/>
          <w:left w:val="nil"/>
          <w:bottom w:val="nil"/>
          <w:right w:val="nil"/>
          <w:between w:val="nil"/>
        </w:pBdr>
        <w:spacing w:after="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Les autres travaux de développement nécessaires à l’intégration avec le prestataire de services financiers seront assumés par celui-ci et peuvent être ajouté</w:t>
      </w:r>
      <w:r w:rsidR="00063B2D">
        <w:rPr>
          <w:rFonts w:asciiTheme="minorHAnsi" w:hAnsiTheme="minorHAnsi"/>
          <w:color w:val="000000"/>
          <w:sz w:val="21"/>
          <w:szCs w:val="21"/>
        </w:rPr>
        <w:t>s</w:t>
      </w:r>
      <w:r>
        <w:rPr>
          <w:rFonts w:asciiTheme="minorHAnsi" w:hAnsiTheme="minorHAnsi"/>
          <w:color w:val="000000"/>
          <w:sz w:val="21"/>
          <w:szCs w:val="21"/>
        </w:rPr>
        <w:t xml:space="preserve"> à l’offre financière.</w:t>
      </w:r>
    </w:p>
    <w:p w14:paraId="415D5717" w14:textId="20A2CFBD" w:rsidR="009E0858" w:rsidRPr="00B92CFB" w:rsidRDefault="002C0000" w:rsidP="009E0858">
      <w:pPr>
        <w:numPr>
          <w:ilvl w:val="0"/>
          <w:numId w:val="1"/>
        </w:numPr>
        <w:pBdr>
          <w:top w:val="nil"/>
          <w:left w:val="nil"/>
          <w:bottom w:val="nil"/>
          <w:right w:val="nil"/>
          <w:between w:val="nil"/>
        </w:pBdr>
        <w:spacing w:after="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Le HCR souhaite collaborer directement avec le prestataire de services financiers dans le cadre de l</w:t>
      </w:r>
      <w:r w:rsidR="00063B2D">
        <w:rPr>
          <w:rFonts w:asciiTheme="minorHAnsi" w:hAnsiTheme="minorHAnsi"/>
          <w:color w:val="000000"/>
          <w:sz w:val="21"/>
          <w:szCs w:val="21"/>
        </w:rPr>
        <w:t>’</w:t>
      </w:r>
      <w:r>
        <w:rPr>
          <w:rFonts w:asciiTheme="minorHAnsi" w:hAnsiTheme="minorHAnsi"/>
          <w:color w:val="000000"/>
          <w:sz w:val="21"/>
          <w:szCs w:val="21"/>
        </w:rPr>
        <w:t>intégration entre les systèmes du HCR et du prestataire de services financiers.</w:t>
      </w:r>
    </w:p>
    <w:p w14:paraId="707B8CCC" w14:textId="77777777" w:rsidR="009E0858" w:rsidRPr="00B92CFB" w:rsidRDefault="009E0858" w:rsidP="009E0858">
      <w:pPr>
        <w:pBdr>
          <w:top w:val="nil"/>
          <w:left w:val="nil"/>
          <w:bottom w:val="nil"/>
          <w:right w:val="nil"/>
          <w:between w:val="nil"/>
        </w:pBdr>
        <w:spacing w:after="0" w:line="240" w:lineRule="auto"/>
        <w:ind w:left="720"/>
        <w:jc w:val="both"/>
        <w:rPr>
          <w:rFonts w:asciiTheme="minorHAnsi" w:eastAsia="Arial" w:hAnsiTheme="minorHAnsi" w:cs="Arial"/>
          <w:color w:val="000000"/>
          <w:sz w:val="21"/>
          <w:szCs w:val="21"/>
        </w:rPr>
      </w:pPr>
    </w:p>
    <w:p w14:paraId="0000008F" w14:textId="11811C33" w:rsidR="00AA1640" w:rsidRPr="00B92CFB" w:rsidRDefault="001062A9" w:rsidP="00F7152B">
      <w:pPr>
        <w:spacing w:after="0"/>
        <w:jc w:val="both"/>
        <w:rPr>
          <w:rFonts w:asciiTheme="minorHAnsi" w:eastAsia="Arial" w:hAnsiTheme="minorHAnsi" w:cs="Arial"/>
          <w:b/>
          <w:color w:val="1F3864"/>
          <w:sz w:val="21"/>
          <w:szCs w:val="21"/>
          <w:u w:val="single"/>
        </w:rPr>
      </w:pPr>
      <w:r>
        <w:rPr>
          <w:rFonts w:asciiTheme="minorHAnsi" w:hAnsiTheme="minorHAnsi"/>
          <w:b/>
          <w:color w:val="1F3864"/>
          <w:u w:val="single"/>
        </w:rPr>
        <w:t>VIII. Utilisation du même mécanisme d’exécution par différentes institutions</w:t>
      </w:r>
      <w:r>
        <w:rPr>
          <w:rFonts w:asciiTheme="minorHAnsi" w:hAnsiTheme="minorHAnsi"/>
          <w:i/>
          <w:color w:val="FF0000"/>
          <w:sz w:val="21"/>
          <w:szCs w:val="21"/>
        </w:rPr>
        <w:t xml:space="preserve"> </w:t>
      </w:r>
    </w:p>
    <w:p w14:paraId="1FBF38DF" w14:textId="46FA5FB5" w:rsidR="00631EC4" w:rsidRDefault="002C0000" w:rsidP="00865CB1">
      <w:pPr>
        <w:shd w:val="clear" w:color="auto" w:fill="FFFFFF"/>
        <w:spacing w:after="0" w:line="240" w:lineRule="auto"/>
        <w:jc w:val="both"/>
        <w:rPr>
          <w:rFonts w:asciiTheme="minorHAnsi" w:eastAsia="Arial" w:hAnsiTheme="minorHAnsi" w:cs="Arial"/>
          <w:sz w:val="21"/>
          <w:szCs w:val="21"/>
        </w:rPr>
      </w:pPr>
      <w:r>
        <w:rPr>
          <w:rFonts w:asciiTheme="minorHAnsi" w:hAnsiTheme="minorHAnsi"/>
          <w:sz w:val="21"/>
          <w:szCs w:val="21"/>
        </w:rPr>
        <w:t xml:space="preserve">Dès l’autorisation par le HCR et l’accord avec le prestataire de services financiers, d’autres acteurs humanitaires doivent pouvoir déposer de l’argent en espèces, limités ou non, sur le compte (par le biais de la carte ou du portefeuille) lors du ciblage de bénéficiaires communs. Le prestataire de services financiers doit pouvoir être en mesure de compenser des fonds séparés provenant de plusieurs acteurs humanitaires à des fins de suivi, soit par le biais de la méthode PEPS (premier entré, premier sorti), soit par le biais de portefeuilles multiples. Les acteurs humanitaires utilisant cette fonctionnalité doivent verser les mêmes frais de transactions et bénéficier des mêmes procédures, clauses et conditions, comme convenu entre le prestataire de service et le HCR. Le prestataire de services financiers communiquera au HCR des données transactionnelles (liste de transactions, type de retrait, montant, emplacement, </w:t>
      </w:r>
      <w:proofErr w:type="spellStart"/>
      <w:r>
        <w:rPr>
          <w:rFonts w:asciiTheme="minorHAnsi" w:hAnsiTheme="minorHAnsi"/>
          <w:sz w:val="21"/>
          <w:szCs w:val="21"/>
        </w:rPr>
        <w:t>horadatage</w:t>
      </w:r>
      <w:proofErr w:type="spellEnd"/>
      <w:r>
        <w:rPr>
          <w:rFonts w:asciiTheme="minorHAnsi" w:hAnsiTheme="minorHAnsi"/>
          <w:sz w:val="21"/>
          <w:szCs w:val="21"/>
        </w:rPr>
        <w:t>, soldes, etc.) concernant le versement des fonds.</w:t>
      </w:r>
    </w:p>
    <w:p w14:paraId="0E367B79" w14:textId="77777777" w:rsidR="00865CB1" w:rsidRPr="00865CB1" w:rsidRDefault="00865CB1" w:rsidP="00865CB1">
      <w:pPr>
        <w:shd w:val="clear" w:color="auto" w:fill="FFFFFF"/>
        <w:spacing w:after="0" w:line="240" w:lineRule="auto"/>
        <w:jc w:val="both"/>
        <w:rPr>
          <w:rFonts w:asciiTheme="minorHAnsi" w:eastAsia="Arial" w:hAnsiTheme="minorHAnsi" w:cs="Arial"/>
          <w:sz w:val="21"/>
          <w:szCs w:val="21"/>
        </w:rPr>
      </w:pPr>
    </w:p>
    <w:p w14:paraId="00000092" w14:textId="77777777" w:rsidR="00AA1640" w:rsidRPr="00B92CFB" w:rsidRDefault="002C0000">
      <w:pPr>
        <w:spacing w:after="0" w:line="240" w:lineRule="auto"/>
        <w:jc w:val="both"/>
        <w:rPr>
          <w:rFonts w:asciiTheme="minorHAnsi" w:eastAsia="Arial" w:hAnsiTheme="minorHAnsi" w:cs="Arial"/>
          <w:color w:val="1F3864"/>
          <w:u w:val="single"/>
        </w:rPr>
      </w:pPr>
      <w:r>
        <w:rPr>
          <w:rFonts w:asciiTheme="minorHAnsi" w:hAnsiTheme="minorHAnsi"/>
          <w:b/>
          <w:color w:val="1F3864"/>
          <w:u w:val="single"/>
        </w:rPr>
        <w:t>IX. Rapports et rapprochement</w:t>
      </w:r>
    </w:p>
    <w:p w14:paraId="00000093" w14:textId="014AEA4E" w:rsidR="00AA1640" w:rsidRPr="00B92CFB" w:rsidRDefault="002C0000" w:rsidP="00F24E24">
      <w:pPr>
        <w:spacing w:after="120" w:line="240" w:lineRule="auto"/>
        <w:jc w:val="both"/>
        <w:rPr>
          <w:rFonts w:asciiTheme="minorHAnsi" w:eastAsia="Arial" w:hAnsiTheme="minorHAnsi" w:cs="Arial"/>
          <w:color w:val="000000"/>
          <w:sz w:val="21"/>
          <w:szCs w:val="21"/>
        </w:rPr>
      </w:pPr>
      <w:r>
        <w:rPr>
          <w:rFonts w:asciiTheme="minorHAnsi" w:hAnsiTheme="minorHAnsi"/>
          <w:color w:val="000000"/>
          <w:sz w:val="21"/>
          <w:szCs w:val="21"/>
        </w:rPr>
        <w:lastRenderedPageBreak/>
        <w:t>Le prestataire de services financiers doit fournir des rapports réguliers concernant le suivi, l’enregistrement et le rapport de transactions, notamment les accusés de réception des commandes et les preuves de retrait ou décaissement, ainsi que les accusés de réception des fonds par les bénéficiaires</w:t>
      </w:r>
      <w:r w:rsidR="00F24E24">
        <w:rPr>
          <w:rFonts w:asciiTheme="minorHAnsi" w:hAnsiTheme="minorHAnsi"/>
          <w:color w:val="000000"/>
          <w:sz w:val="21"/>
          <w:szCs w:val="21"/>
        </w:rPr>
        <w:t>.</w:t>
      </w:r>
      <w:r>
        <w:rPr>
          <w:rFonts w:asciiTheme="minorHAnsi" w:hAnsiTheme="minorHAnsi"/>
          <w:color w:val="000000"/>
          <w:sz w:val="21"/>
          <w:szCs w:val="21"/>
        </w:rPr>
        <w:t xml:space="preserve"> </w:t>
      </w:r>
    </w:p>
    <w:p w14:paraId="00000094" w14:textId="698D6AE9" w:rsidR="00AA1640" w:rsidRPr="00B92CFB" w:rsidRDefault="002C0000" w:rsidP="009E0858">
      <w:pPr>
        <w:spacing w:before="100" w:after="12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Le système de rapports dépend grandement du type de mécanisme d’exécution utilisé.</w:t>
      </w:r>
      <w:r w:rsidR="00063B2D">
        <w:rPr>
          <w:rFonts w:asciiTheme="minorHAnsi" w:hAnsiTheme="minorHAnsi"/>
          <w:color w:val="000000"/>
          <w:sz w:val="21"/>
          <w:szCs w:val="21"/>
        </w:rPr>
        <w:t xml:space="preserve"> </w:t>
      </w:r>
      <w:r>
        <w:rPr>
          <w:rFonts w:asciiTheme="minorHAnsi" w:hAnsiTheme="minorHAnsi"/>
          <w:color w:val="000000"/>
          <w:sz w:val="21"/>
          <w:szCs w:val="21"/>
        </w:rPr>
        <w:t>Si les transferts et décaissements sont effectués par l’intermédiaire des banques, cartes, téléphones mobiles ou un autre système électronique, le HCR privilégiera un système électronique de rapports accessible en ligne en temps réel. </w:t>
      </w:r>
    </w:p>
    <w:p w14:paraId="00000095" w14:textId="60C3EDD1" w:rsidR="00AA1640" w:rsidRPr="00B92CFB" w:rsidRDefault="002C0000" w:rsidP="009E0858">
      <w:pPr>
        <w:spacing w:before="100" w:after="0" w:line="240" w:lineRule="auto"/>
        <w:jc w:val="both"/>
        <w:rPr>
          <w:rFonts w:asciiTheme="minorHAnsi" w:eastAsia="Arial" w:hAnsiTheme="minorHAnsi" w:cs="Arial"/>
          <w:color w:val="000000"/>
          <w:sz w:val="21"/>
          <w:szCs w:val="21"/>
          <w:u w:val="single"/>
        </w:rPr>
      </w:pPr>
      <w:r>
        <w:rPr>
          <w:rFonts w:asciiTheme="minorHAnsi" w:hAnsiTheme="minorHAnsi"/>
          <w:sz w:val="21"/>
          <w:szCs w:val="21"/>
          <w:u w:val="single"/>
        </w:rPr>
        <w:t>Rapports concernant l’intégration potentielle à l’ERP :</w:t>
      </w:r>
    </w:p>
    <w:p w14:paraId="00000096" w14:textId="77777777" w:rsidR="00AA1640" w:rsidRPr="00B92CFB" w:rsidRDefault="002C0000">
      <w:pPr>
        <w:jc w:val="both"/>
        <w:rPr>
          <w:rFonts w:asciiTheme="minorHAnsi" w:eastAsia="Arial" w:hAnsiTheme="minorHAnsi" w:cs="Arial"/>
          <w:sz w:val="21"/>
          <w:szCs w:val="21"/>
        </w:rPr>
      </w:pPr>
      <w:r>
        <w:rPr>
          <w:rFonts w:asciiTheme="minorHAnsi" w:hAnsiTheme="minorHAnsi"/>
          <w:sz w:val="21"/>
          <w:szCs w:val="21"/>
        </w:rPr>
        <w:t xml:space="preserve">Le prestataire de services doit être en mesure de fournir des rapports pleinement formatés concernant les transactions effectuées à partir des comptes du HCR en faveur de bénéficiaires, ou au moins les données brutes permettant d’élaborer ces rapports. </w:t>
      </w:r>
    </w:p>
    <w:p w14:paraId="00000099" w14:textId="77777777" w:rsidR="00AA1640" w:rsidRPr="00B92CFB" w:rsidRDefault="002C0000" w:rsidP="00F7152B">
      <w:pPr>
        <w:spacing w:after="0"/>
        <w:jc w:val="both"/>
        <w:rPr>
          <w:rFonts w:asciiTheme="minorHAnsi" w:eastAsia="Arial" w:hAnsiTheme="minorHAnsi" w:cs="Arial"/>
          <w:color w:val="1F3864"/>
          <w:u w:val="single"/>
        </w:rPr>
      </w:pPr>
      <w:r>
        <w:rPr>
          <w:rFonts w:asciiTheme="minorHAnsi" w:hAnsiTheme="minorHAnsi"/>
          <w:b/>
          <w:color w:val="1F3864"/>
          <w:u w:val="single"/>
        </w:rPr>
        <w:t>X. Mécanismes de contrôle interne et gestion des risques</w:t>
      </w:r>
    </w:p>
    <w:p w14:paraId="0000009A" w14:textId="5D846D04" w:rsidR="00AA1640" w:rsidRDefault="002C0000" w:rsidP="009E0858">
      <w:pPr>
        <w:spacing w:line="240" w:lineRule="auto"/>
        <w:jc w:val="both"/>
        <w:rPr>
          <w:rFonts w:asciiTheme="minorHAnsi" w:eastAsia="Arial" w:hAnsiTheme="minorHAnsi" w:cs="Arial"/>
          <w:color w:val="000000"/>
          <w:sz w:val="21"/>
          <w:szCs w:val="21"/>
        </w:rPr>
      </w:pPr>
      <w:r>
        <w:rPr>
          <w:rFonts w:asciiTheme="minorHAnsi" w:hAnsiTheme="minorHAnsi"/>
          <w:color w:val="000000"/>
          <w:sz w:val="21"/>
          <w:szCs w:val="21"/>
        </w:rPr>
        <w:t>Le prestataire de services financiers veillera à ce que des mécanismes appropriés de contrôle interne et de prévention de la fraude soient en place.</w:t>
      </w:r>
      <w:r w:rsidR="00063B2D">
        <w:rPr>
          <w:rFonts w:asciiTheme="minorHAnsi" w:hAnsiTheme="minorHAnsi"/>
          <w:color w:val="000000"/>
          <w:sz w:val="21"/>
          <w:szCs w:val="21"/>
        </w:rPr>
        <w:t xml:space="preserve"> </w:t>
      </w:r>
      <w:r>
        <w:rPr>
          <w:rFonts w:asciiTheme="minorHAnsi" w:hAnsiTheme="minorHAnsi"/>
          <w:color w:val="000000"/>
          <w:sz w:val="21"/>
          <w:szCs w:val="21"/>
        </w:rPr>
        <w:t>Bien que ces mécanismes puissent varier suivant le type de prestataire de services financiers, les mécanismes de contrôle interne offerts doivent être clairement définis dans l’offre.</w:t>
      </w:r>
      <w:r w:rsidR="00063B2D">
        <w:rPr>
          <w:rFonts w:asciiTheme="minorHAnsi" w:hAnsiTheme="minorHAnsi"/>
          <w:color w:val="000000"/>
          <w:sz w:val="21"/>
          <w:szCs w:val="21"/>
        </w:rPr>
        <w:t xml:space="preserve"> </w:t>
      </w:r>
      <w:r>
        <w:rPr>
          <w:rFonts w:asciiTheme="minorHAnsi" w:hAnsiTheme="minorHAnsi"/>
          <w:color w:val="000000"/>
          <w:sz w:val="21"/>
          <w:szCs w:val="21"/>
        </w:rPr>
        <w:t xml:space="preserve">La soumission doit préciser le </w:t>
      </w:r>
      <w:r>
        <w:rPr>
          <w:rFonts w:asciiTheme="minorHAnsi" w:hAnsiTheme="minorHAnsi"/>
          <w:i/>
          <w:iCs/>
          <w:color w:val="000000"/>
          <w:sz w:val="21"/>
          <w:szCs w:val="21"/>
        </w:rPr>
        <w:t>programme d’évaluation du risque de conformité et le plan de continuité des opérations</w:t>
      </w:r>
      <w:r>
        <w:rPr>
          <w:rFonts w:asciiTheme="minorHAnsi" w:hAnsiTheme="minorHAnsi"/>
          <w:color w:val="000000"/>
          <w:sz w:val="21"/>
          <w:szCs w:val="21"/>
        </w:rPr>
        <w:t xml:space="preserve"> de la société, ses mesures de suivi et de test régulier des systèmes et procédures de sécurité, ainsi que le mécanisme de suivi, de détection et de réponse en temps réel aux problèmes techniques et à la fraude potentielle.</w:t>
      </w:r>
    </w:p>
    <w:p w14:paraId="0B63E1B6" w14:textId="735307B2" w:rsidR="001062A9" w:rsidRPr="001062A9" w:rsidRDefault="001062A9" w:rsidP="001062A9">
      <w:pPr>
        <w:jc w:val="both"/>
        <w:rPr>
          <w:sz w:val="21"/>
          <w:szCs w:val="21"/>
        </w:rPr>
      </w:pPr>
      <w:r>
        <w:rPr>
          <w:sz w:val="21"/>
          <w:szCs w:val="21"/>
        </w:rPr>
        <w:t>Pour être effectivement relev</w:t>
      </w:r>
      <w:r w:rsidR="00063B2D">
        <w:rPr>
          <w:sz w:val="21"/>
          <w:szCs w:val="21"/>
        </w:rPr>
        <w:t>és</w:t>
      </w:r>
      <w:r>
        <w:rPr>
          <w:sz w:val="21"/>
          <w:szCs w:val="21"/>
        </w:rPr>
        <w:t xml:space="preserve"> de leurs obligations contractuelles, les prestataires de services financiers sélectionnés doivent fournir une caution d’exécution/garantie bancaire.</w:t>
      </w:r>
      <w:r w:rsidR="00063B2D">
        <w:rPr>
          <w:sz w:val="21"/>
          <w:szCs w:val="21"/>
        </w:rPr>
        <w:t xml:space="preserve"> </w:t>
      </w:r>
      <w:r>
        <w:rPr>
          <w:sz w:val="21"/>
          <w:szCs w:val="21"/>
        </w:rPr>
        <w:t xml:space="preserve">La caution/garantie sera déterminée par le HCR en fonction des résultats des évaluations opérationnelles et financières. La valeur de la caution/garantie représentera une proportion du montant des transferts mensuel (sous réserve du niveau de risque identifié), et couvrira l’intégralité de la durée du contrat. Elle ne sera remboursable qu’en cas d’exécution et de conclusion satisfaisantes du contrat. </w:t>
      </w:r>
    </w:p>
    <w:p w14:paraId="0000009B" w14:textId="77777777" w:rsidR="00AA1640" w:rsidRPr="00B92CFB" w:rsidRDefault="002C0000" w:rsidP="00F7152B">
      <w:pPr>
        <w:spacing w:before="100" w:after="0" w:line="240" w:lineRule="auto"/>
        <w:jc w:val="both"/>
        <w:rPr>
          <w:rFonts w:asciiTheme="minorHAnsi" w:eastAsia="Arial" w:hAnsiTheme="minorHAnsi" w:cs="Arial"/>
          <w:color w:val="000000"/>
          <w:sz w:val="21"/>
          <w:szCs w:val="21"/>
          <w:u w:val="single"/>
        </w:rPr>
      </w:pPr>
      <w:r>
        <w:rPr>
          <w:rFonts w:asciiTheme="minorHAnsi" w:hAnsiTheme="minorHAnsi"/>
          <w:color w:val="000000"/>
          <w:sz w:val="21"/>
          <w:szCs w:val="21"/>
          <w:u w:val="single"/>
        </w:rPr>
        <w:t>Gestion du compte</w:t>
      </w:r>
    </w:p>
    <w:p w14:paraId="0000009C" w14:textId="76C699A4" w:rsidR="00AA1640" w:rsidRPr="00B92CFB" w:rsidRDefault="002C0000" w:rsidP="009E0858">
      <w:pPr>
        <w:spacing w:after="12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Le prestataire de services financiers ouvrira un compte spécial pour le HCR, qui sera alimenté par celui-ci et sera utilisé pour effectuer des transferts vers les comptes/portefeuilles des bénéficiaires cibles.</w:t>
      </w:r>
      <w:r w:rsidR="00063B2D">
        <w:rPr>
          <w:rFonts w:asciiTheme="minorHAnsi" w:hAnsiTheme="minorHAnsi"/>
          <w:color w:val="000000"/>
          <w:sz w:val="21"/>
          <w:szCs w:val="21"/>
        </w:rPr>
        <w:t xml:space="preserve"> </w:t>
      </w:r>
      <w:r>
        <w:rPr>
          <w:rFonts w:asciiTheme="minorHAnsi" w:hAnsiTheme="minorHAnsi"/>
          <w:color w:val="000000"/>
          <w:sz w:val="21"/>
          <w:szCs w:val="21"/>
        </w:rPr>
        <w:t>Le prestataire de services doit garantir une séparation complète des fonds ainsi que la traçabilité de ceux-ci jusqu’à leur retrait ou décaissement par les bénéficiaires.</w:t>
      </w:r>
    </w:p>
    <w:p w14:paraId="0000009D" w14:textId="7F235D54" w:rsidR="00AA1640" w:rsidRPr="00B92CFB" w:rsidRDefault="002C0000" w:rsidP="009E0858">
      <w:pPr>
        <w:spacing w:after="12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 xml:space="preserve">Le prestataire de services financiers doit rembourser au HCR tout solde non retiré par les bénéficiaires d’un compte détenu par le HCR, conformément aux critères qui seront précisés par le HCR dans l’accord-cadre.  </w:t>
      </w:r>
    </w:p>
    <w:p w14:paraId="0000009E" w14:textId="77777777" w:rsidR="00AA1640" w:rsidRPr="00B92CFB" w:rsidRDefault="002C0000" w:rsidP="009E0858">
      <w:pPr>
        <w:spacing w:after="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Le prestataire de services financiers doit veiller à ce que les mesures de contrôle de l’accès au système physique ou virtuel, limitant l’accès aux données des bénéficiaires et suivant l’accès des utilisateurs, soient en place.</w:t>
      </w:r>
    </w:p>
    <w:p w14:paraId="20ECA31C" w14:textId="77777777" w:rsidR="009E0858" w:rsidRPr="00B92CFB" w:rsidRDefault="009E0858" w:rsidP="009E0858">
      <w:pPr>
        <w:spacing w:after="0"/>
        <w:jc w:val="both"/>
        <w:rPr>
          <w:rFonts w:asciiTheme="minorHAnsi" w:eastAsia="Arial" w:hAnsiTheme="minorHAnsi" w:cs="Arial"/>
          <w:color w:val="000000"/>
          <w:sz w:val="21"/>
          <w:szCs w:val="21"/>
        </w:rPr>
      </w:pPr>
    </w:p>
    <w:p w14:paraId="0000009F" w14:textId="4FC835A6" w:rsidR="00AA1640" w:rsidRPr="00B92CFB" w:rsidRDefault="006F2394" w:rsidP="009E0858">
      <w:pPr>
        <w:spacing w:after="0" w:line="240" w:lineRule="auto"/>
        <w:jc w:val="both"/>
        <w:rPr>
          <w:rFonts w:asciiTheme="minorHAnsi" w:eastAsia="Arial" w:hAnsiTheme="minorHAnsi" w:cs="Arial"/>
          <w:color w:val="1F3864"/>
          <w:u w:val="single"/>
        </w:rPr>
      </w:pPr>
      <w:r>
        <w:rPr>
          <w:rFonts w:asciiTheme="minorHAnsi" w:hAnsiTheme="minorHAnsi"/>
          <w:b/>
          <w:color w:val="1F3864"/>
          <w:u w:val="single"/>
        </w:rPr>
        <w:t>XI. Accord de protection des données</w:t>
      </w:r>
    </w:p>
    <w:p w14:paraId="000000A0" w14:textId="15FE1290" w:rsidR="00AA1640" w:rsidRPr="00B92CFB" w:rsidRDefault="002C0000" w:rsidP="00F7152B">
      <w:pPr>
        <w:spacing w:after="12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Il est très important que le HCR exige la protection de la confidentialité et la sécurité des personnes se trouvant sous sa protection.</w:t>
      </w:r>
      <w:r w:rsidR="00063B2D">
        <w:rPr>
          <w:rFonts w:asciiTheme="minorHAnsi" w:hAnsiTheme="minorHAnsi"/>
          <w:color w:val="000000"/>
          <w:sz w:val="21"/>
          <w:szCs w:val="21"/>
        </w:rPr>
        <w:t xml:space="preserve"> </w:t>
      </w:r>
      <w:r>
        <w:rPr>
          <w:rFonts w:asciiTheme="minorHAnsi" w:hAnsiTheme="minorHAnsi"/>
          <w:color w:val="000000"/>
          <w:sz w:val="21"/>
          <w:szCs w:val="21"/>
        </w:rPr>
        <w:t>Ainsi, les services et les mécanismes de transfert proposés doivent être alignés avec la politique du HCR sur la protection des données personnelles des individus relevant de son mandat, et doivent refléter les règles et les processus permettant le cryptage des données des bénéficiaires.</w:t>
      </w:r>
      <w:r w:rsidR="00063B2D">
        <w:rPr>
          <w:rFonts w:asciiTheme="minorHAnsi" w:hAnsiTheme="minorHAnsi"/>
          <w:color w:val="000000"/>
          <w:sz w:val="21"/>
          <w:szCs w:val="21"/>
        </w:rPr>
        <w:t xml:space="preserve"> </w:t>
      </w:r>
      <w:r>
        <w:rPr>
          <w:rFonts w:asciiTheme="minorHAnsi" w:hAnsiTheme="minorHAnsi"/>
          <w:color w:val="000000"/>
          <w:sz w:val="21"/>
          <w:szCs w:val="21"/>
        </w:rPr>
        <w:t>Lorsque la législation nationale concernant la connaissance de l’identité des clients exige la diffusion de données personnelles et de l’identité des bénéficiaires, il est demandé aux prestataires de services financiers de déterminer si une exception à ces règles peut être obtenue des autorités.</w:t>
      </w:r>
    </w:p>
    <w:p w14:paraId="000000A1" w14:textId="77777777" w:rsidR="00AA1640" w:rsidRPr="00B92CFB" w:rsidRDefault="002C0000">
      <w:pPr>
        <w:spacing w:before="100" w:after="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Le prestataire de services financiers doit disposer de politiques de protection des données en vigueur de manière appropriée, ou être en mesure de mettre celles-ci en place, notamment :</w:t>
      </w:r>
    </w:p>
    <w:p w14:paraId="000000A2" w14:textId="6C041DDE" w:rsidR="00AA1640" w:rsidRPr="00B92CFB" w:rsidRDefault="002C0000" w:rsidP="007F36FC">
      <w:pPr>
        <w:numPr>
          <w:ilvl w:val="0"/>
          <w:numId w:val="6"/>
        </w:numPr>
        <w:pBdr>
          <w:top w:val="nil"/>
          <w:left w:val="nil"/>
          <w:bottom w:val="nil"/>
          <w:right w:val="nil"/>
          <w:between w:val="nil"/>
        </w:pBdr>
        <w:spacing w:after="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le cryptage de toute base de données offrant des détails sur les bénéficiaires</w:t>
      </w:r>
      <w:r w:rsidR="00063B2D">
        <w:rPr>
          <w:rFonts w:asciiTheme="minorHAnsi" w:hAnsiTheme="minorHAnsi"/>
          <w:color w:val="000000"/>
          <w:sz w:val="21"/>
          <w:szCs w:val="21"/>
        </w:rPr>
        <w:t> </w:t>
      </w:r>
      <w:r>
        <w:rPr>
          <w:rFonts w:asciiTheme="minorHAnsi" w:hAnsiTheme="minorHAnsi"/>
          <w:color w:val="000000"/>
          <w:sz w:val="21"/>
          <w:szCs w:val="21"/>
        </w:rPr>
        <w:t>;</w:t>
      </w:r>
    </w:p>
    <w:p w14:paraId="000000A3" w14:textId="511D3F88" w:rsidR="00AA1640" w:rsidRPr="00B92CFB" w:rsidRDefault="002C0000">
      <w:pPr>
        <w:numPr>
          <w:ilvl w:val="0"/>
          <w:numId w:val="6"/>
        </w:numPr>
        <w:pBdr>
          <w:top w:val="nil"/>
          <w:left w:val="nil"/>
          <w:bottom w:val="nil"/>
          <w:right w:val="nil"/>
          <w:between w:val="nil"/>
        </w:pBdr>
        <w:spacing w:after="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la politique relative au traitement et à la gestion des données personnelles</w:t>
      </w:r>
      <w:r w:rsidR="00063B2D">
        <w:rPr>
          <w:rFonts w:asciiTheme="minorHAnsi" w:hAnsiTheme="minorHAnsi"/>
          <w:color w:val="000000"/>
          <w:sz w:val="21"/>
          <w:szCs w:val="21"/>
        </w:rPr>
        <w:t> </w:t>
      </w:r>
      <w:r>
        <w:rPr>
          <w:rFonts w:asciiTheme="minorHAnsi" w:hAnsiTheme="minorHAnsi"/>
          <w:color w:val="000000"/>
          <w:sz w:val="21"/>
          <w:szCs w:val="21"/>
        </w:rPr>
        <w:t>;</w:t>
      </w:r>
    </w:p>
    <w:p w14:paraId="000000A4" w14:textId="77777777" w:rsidR="00AA1640" w:rsidRPr="00B92CFB" w:rsidRDefault="002C0000" w:rsidP="00F7152B">
      <w:pPr>
        <w:numPr>
          <w:ilvl w:val="0"/>
          <w:numId w:val="6"/>
        </w:numPr>
        <w:pBdr>
          <w:top w:val="nil"/>
          <w:left w:val="nil"/>
          <w:bottom w:val="nil"/>
          <w:right w:val="nil"/>
          <w:between w:val="nil"/>
        </w:pBdr>
        <w:spacing w:after="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 xml:space="preserve">le partage des données et l’accès à celles-ci, conformément à la Politique du HCR sur la protection des données personnelles. </w:t>
      </w:r>
    </w:p>
    <w:p w14:paraId="000000A5" w14:textId="29B1D193" w:rsidR="00AA1640" w:rsidRPr="00B92CFB" w:rsidRDefault="002C0000">
      <w:pPr>
        <w:spacing w:before="100" w:after="120" w:line="240" w:lineRule="auto"/>
        <w:jc w:val="both"/>
        <w:rPr>
          <w:rFonts w:asciiTheme="minorHAnsi" w:eastAsia="Arial" w:hAnsiTheme="minorHAnsi" w:cs="Arial"/>
          <w:color w:val="000000"/>
          <w:sz w:val="21"/>
          <w:szCs w:val="21"/>
        </w:rPr>
      </w:pPr>
      <w:r>
        <w:rPr>
          <w:rFonts w:asciiTheme="minorHAnsi" w:hAnsiTheme="minorHAnsi"/>
          <w:color w:val="000000"/>
          <w:sz w:val="21"/>
          <w:szCs w:val="21"/>
        </w:rPr>
        <w:lastRenderedPageBreak/>
        <w:t>Outre l’accor</w:t>
      </w:r>
      <w:r w:rsidR="00063B2D">
        <w:rPr>
          <w:rFonts w:asciiTheme="minorHAnsi" w:hAnsiTheme="minorHAnsi"/>
          <w:color w:val="000000"/>
          <w:sz w:val="21"/>
          <w:szCs w:val="21"/>
        </w:rPr>
        <w:t>d</w:t>
      </w:r>
      <w:r>
        <w:rPr>
          <w:rFonts w:asciiTheme="minorHAnsi" w:hAnsiTheme="minorHAnsi"/>
          <w:color w:val="000000"/>
          <w:sz w:val="21"/>
          <w:szCs w:val="21"/>
        </w:rPr>
        <w:t>-cadre signé par le HCR avec le prestataire de services financiers, l’accord du HCR relatif à la protection des données (annexe F) sera signé entre les deux parties.</w:t>
      </w:r>
      <w:r w:rsidR="00063B2D">
        <w:rPr>
          <w:rFonts w:asciiTheme="minorHAnsi" w:hAnsiTheme="minorHAnsi"/>
          <w:color w:val="000000"/>
          <w:sz w:val="21"/>
          <w:szCs w:val="21"/>
        </w:rPr>
        <w:t xml:space="preserve"> </w:t>
      </w:r>
      <w:r>
        <w:rPr>
          <w:rFonts w:asciiTheme="minorHAnsi" w:hAnsiTheme="minorHAnsi"/>
          <w:color w:val="000000"/>
          <w:sz w:val="21"/>
          <w:szCs w:val="21"/>
        </w:rPr>
        <w:t xml:space="preserve">Dans le cas où le prestataire de services sous-traiterait à une tierce partie pour fournir ses services, la tierce partie sera également tenue responsable, en vertu du même accord de protection des données.  </w:t>
      </w:r>
    </w:p>
    <w:p w14:paraId="000000A6" w14:textId="77777777" w:rsidR="00AA1640" w:rsidRPr="00B92CFB" w:rsidRDefault="002C0000" w:rsidP="009E0858">
      <w:pPr>
        <w:spacing w:after="0"/>
        <w:jc w:val="both"/>
        <w:rPr>
          <w:rFonts w:asciiTheme="minorHAnsi" w:eastAsia="Arial" w:hAnsiTheme="minorHAnsi" w:cs="Arial"/>
          <w:color w:val="000000"/>
          <w:sz w:val="21"/>
          <w:szCs w:val="21"/>
        </w:rPr>
      </w:pPr>
      <w:r>
        <w:rPr>
          <w:rFonts w:asciiTheme="minorHAnsi" w:hAnsiTheme="minorHAnsi"/>
          <w:color w:val="000000"/>
          <w:sz w:val="21"/>
          <w:szCs w:val="21"/>
        </w:rPr>
        <w:t>Le prestataire de services financiers doit maintenir une politique d’informations actualisée en matière de sécurité, conforme à la politique du HCR sur la protection des données personnelles.</w:t>
      </w:r>
    </w:p>
    <w:p w14:paraId="60CE0AD8" w14:textId="77777777" w:rsidR="009E0858" w:rsidRPr="00B92CFB" w:rsidRDefault="009E0858" w:rsidP="009E0858">
      <w:pPr>
        <w:spacing w:after="0"/>
        <w:jc w:val="both"/>
        <w:rPr>
          <w:rFonts w:asciiTheme="minorHAnsi" w:eastAsia="Arial" w:hAnsiTheme="minorHAnsi" w:cs="Arial"/>
          <w:color w:val="000000"/>
          <w:sz w:val="21"/>
          <w:szCs w:val="21"/>
        </w:rPr>
      </w:pPr>
    </w:p>
    <w:p w14:paraId="000000A7" w14:textId="117BB7AF" w:rsidR="00AA1640" w:rsidRPr="00B92CFB" w:rsidRDefault="006F2394" w:rsidP="009E0858">
      <w:pPr>
        <w:spacing w:after="0" w:line="240" w:lineRule="auto"/>
        <w:jc w:val="both"/>
        <w:rPr>
          <w:rFonts w:asciiTheme="minorHAnsi" w:eastAsia="Arial" w:hAnsiTheme="minorHAnsi" w:cs="Arial"/>
          <w:color w:val="1F3864"/>
          <w:u w:val="single"/>
        </w:rPr>
      </w:pPr>
      <w:r>
        <w:rPr>
          <w:rFonts w:asciiTheme="minorHAnsi" w:hAnsiTheme="minorHAnsi"/>
          <w:b/>
          <w:color w:val="1F3864"/>
          <w:u w:val="single"/>
        </w:rPr>
        <w:t>XII. Assurance</w:t>
      </w:r>
    </w:p>
    <w:p w14:paraId="000000A8" w14:textId="76919190" w:rsidR="00AA1640" w:rsidRPr="00B92CFB" w:rsidRDefault="002C0000" w:rsidP="00F7152B">
      <w:pPr>
        <w:spacing w:after="12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Le HCR ne peut être tenu responsable d’aucune fraude, aucun détournement ou aucune perte de fonds survenant</w:t>
      </w:r>
      <w:r w:rsidR="00713FF7">
        <w:rPr>
          <w:rFonts w:asciiTheme="minorHAnsi" w:hAnsiTheme="minorHAnsi"/>
          <w:color w:val="000000"/>
          <w:sz w:val="21"/>
          <w:szCs w:val="21"/>
        </w:rPr>
        <w:t xml:space="preserve"> entre le compte spécial du HCR</w:t>
      </w:r>
      <w:r>
        <w:rPr>
          <w:rFonts w:asciiTheme="minorHAnsi" w:hAnsiTheme="minorHAnsi"/>
          <w:color w:val="000000"/>
          <w:sz w:val="21"/>
          <w:szCs w:val="21"/>
        </w:rPr>
        <w:t xml:space="preserve"> au niveau du prestataire de services financiers et les bénéficiaires ciblés.</w:t>
      </w:r>
    </w:p>
    <w:p w14:paraId="000000A9" w14:textId="77777777" w:rsidR="00AA1640" w:rsidRPr="00B92CFB" w:rsidRDefault="002C0000">
      <w:pPr>
        <w:spacing w:before="100" w:after="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Le prestataire de services financiers doit préciser le mécanisme d’assurance en vigueur ou prévu pour mise en œuvre, afin d’offrir les garanties financières nécessaires en cas de fraude, de détournement ou de perte de fonds du présent projet sous la responsabilité du prestataire de services financiers, notamment le transfert de fonds initiaux du HCR vers le compte spécial du prestataire de services financiers, et le décaissement ultérieur vers les bénéficiaires ciblés.</w:t>
      </w:r>
    </w:p>
    <w:p w14:paraId="000000AA" w14:textId="77777777" w:rsidR="00AA1640" w:rsidRPr="00B92CFB" w:rsidRDefault="002C0000">
      <w:pPr>
        <w:spacing w:before="100" w:after="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Dans certains cas, une caution/garantie d’exécution sera demandée.</w:t>
      </w:r>
    </w:p>
    <w:p w14:paraId="000000AB" w14:textId="77777777" w:rsidR="00AA1640" w:rsidRPr="00B92CFB" w:rsidRDefault="00AA1640">
      <w:pPr>
        <w:spacing w:after="0" w:line="240" w:lineRule="auto"/>
        <w:jc w:val="both"/>
        <w:rPr>
          <w:rFonts w:asciiTheme="minorHAnsi" w:eastAsia="Arial" w:hAnsiTheme="minorHAnsi" w:cs="Arial"/>
          <w:color w:val="000000"/>
          <w:sz w:val="21"/>
          <w:szCs w:val="21"/>
        </w:rPr>
      </w:pPr>
    </w:p>
    <w:p w14:paraId="000000AC" w14:textId="47B02735" w:rsidR="00AA1640" w:rsidRPr="00B92CFB" w:rsidRDefault="006F2394" w:rsidP="00F7152B">
      <w:pPr>
        <w:spacing w:after="0" w:line="240" w:lineRule="auto"/>
        <w:jc w:val="both"/>
        <w:rPr>
          <w:rFonts w:asciiTheme="minorHAnsi" w:eastAsia="Arial" w:hAnsiTheme="minorHAnsi" w:cs="Arial"/>
          <w:color w:val="1F3864"/>
          <w:u w:val="single"/>
        </w:rPr>
      </w:pPr>
      <w:bookmarkStart w:id="0" w:name="bookmark=id.30j0zll"/>
      <w:bookmarkEnd w:id="0"/>
      <w:r>
        <w:rPr>
          <w:rFonts w:asciiTheme="minorHAnsi" w:hAnsiTheme="minorHAnsi"/>
          <w:b/>
          <w:color w:val="1F3864"/>
          <w:u w:val="single"/>
        </w:rPr>
        <w:t>XIII. Évaluation de la performance</w:t>
      </w:r>
    </w:p>
    <w:p w14:paraId="000000AD" w14:textId="77777777" w:rsidR="00AA1640" w:rsidRPr="00B92CFB" w:rsidRDefault="002C0000" w:rsidP="00F7152B">
      <w:pPr>
        <w:spacing w:after="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Le HCR examinera périodiquement la performance des prestataires de services financiers afin d’assurer, entre autres, les éléments suivants :</w:t>
      </w:r>
    </w:p>
    <w:p w14:paraId="000000AE" w14:textId="2C72B36C" w:rsidR="00AA1640" w:rsidRPr="00B92CFB" w:rsidRDefault="002C0000">
      <w:pPr>
        <w:numPr>
          <w:ilvl w:val="0"/>
          <w:numId w:val="2"/>
        </w:numPr>
        <w:pBdr>
          <w:top w:val="nil"/>
          <w:left w:val="nil"/>
          <w:bottom w:val="nil"/>
          <w:right w:val="nil"/>
          <w:between w:val="nil"/>
        </w:pBdr>
        <w:spacing w:after="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les documents des personnes relevant de sa compétence sont acceptés dans le cadre de l’ouverture d’un compte et des services de transfert</w:t>
      </w:r>
      <w:r w:rsidR="00063B2D">
        <w:rPr>
          <w:rFonts w:asciiTheme="minorHAnsi" w:hAnsiTheme="minorHAnsi"/>
          <w:color w:val="000000"/>
          <w:sz w:val="21"/>
          <w:szCs w:val="21"/>
        </w:rPr>
        <w:t> </w:t>
      </w:r>
      <w:r>
        <w:rPr>
          <w:rFonts w:asciiTheme="minorHAnsi" w:hAnsiTheme="minorHAnsi"/>
          <w:color w:val="000000"/>
          <w:sz w:val="21"/>
          <w:szCs w:val="21"/>
        </w:rPr>
        <w:t>;</w:t>
      </w:r>
    </w:p>
    <w:p w14:paraId="000000AF" w14:textId="6538B9CC" w:rsidR="00AA1640" w:rsidRPr="00B92CFB" w:rsidRDefault="002C0000">
      <w:pPr>
        <w:numPr>
          <w:ilvl w:val="0"/>
          <w:numId w:val="2"/>
        </w:numPr>
        <w:pBdr>
          <w:top w:val="nil"/>
          <w:left w:val="nil"/>
          <w:bottom w:val="nil"/>
          <w:right w:val="nil"/>
          <w:between w:val="nil"/>
        </w:pBdr>
        <w:spacing w:after="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le système de transfert de fonds du prestataire de services financiers respecte l’accord-cadre/la proposition du prestataire de services financiers</w:t>
      </w:r>
      <w:r w:rsidR="00063B2D">
        <w:rPr>
          <w:rFonts w:asciiTheme="minorHAnsi" w:hAnsiTheme="minorHAnsi"/>
          <w:color w:val="000000"/>
          <w:sz w:val="21"/>
          <w:szCs w:val="21"/>
        </w:rPr>
        <w:t> </w:t>
      </w:r>
      <w:r>
        <w:rPr>
          <w:rFonts w:asciiTheme="minorHAnsi" w:hAnsiTheme="minorHAnsi"/>
          <w:color w:val="000000"/>
          <w:sz w:val="21"/>
          <w:szCs w:val="21"/>
        </w:rPr>
        <w:t>;</w:t>
      </w:r>
    </w:p>
    <w:p w14:paraId="000000B0" w14:textId="4EF14530" w:rsidR="00AA1640" w:rsidRPr="00B92CFB" w:rsidRDefault="002C0000">
      <w:pPr>
        <w:numPr>
          <w:ilvl w:val="0"/>
          <w:numId w:val="2"/>
        </w:numPr>
        <w:pBdr>
          <w:top w:val="nil"/>
          <w:left w:val="nil"/>
          <w:bottom w:val="nil"/>
          <w:right w:val="nil"/>
          <w:between w:val="nil"/>
        </w:pBdr>
        <w:spacing w:after="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la couverture géographique des services est conforme à l’accord-cadre/l’offre du prestataire de services financiers</w:t>
      </w:r>
      <w:r w:rsidR="00063B2D">
        <w:rPr>
          <w:rFonts w:asciiTheme="minorHAnsi" w:hAnsiTheme="minorHAnsi"/>
          <w:color w:val="000000"/>
          <w:sz w:val="21"/>
          <w:szCs w:val="21"/>
        </w:rPr>
        <w:t> </w:t>
      </w:r>
      <w:r>
        <w:rPr>
          <w:rFonts w:asciiTheme="minorHAnsi" w:hAnsiTheme="minorHAnsi"/>
          <w:color w:val="000000"/>
          <w:sz w:val="21"/>
          <w:szCs w:val="21"/>
        </w:rPr>
        <w:t>;</w:t>
      </w:r>
    </w:p>
    <w:p w14:paraId="000000B1" w14:textId="01DA5C0A" w:rsidR="00AA1640" w:rsidRPr="00B92CFB" w:rsidRDefault="002C0000">
      <w:pPr>
        <w:numPr>
          <w:ilvl w:val="0"/>
          <w:numId w:val="2"/>
        </w:numPr>
        <w:pBdr>
          <w:top w:val="nil"/>
          <w:left w:val="nil"/>
          <w:bottom w:val="nil"/>
          <w:right w:val="nil"/>
          <w:between w:val="nil"/>
        </w:pBdr>
        <w:spacing w:after="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la distribution des moyens de paiement (cartes SIM, cartes bancaires, téléphones portables, codes PIN, emplacements des points de retrait, points de liquidités, etc.) est effectuée conformément à l’accord-cadre/l’offre du prestataire de services financiers</w:t>
      </w:r>
      <w:r w:rsidR="00063B2D">
        <w:rPr>
          <w:rFonts w:asciiTheme="minorHAnsi" w:hAnsiTheme="minorHAnsi"/>
          <w:color w:val="000000"/>
          <w:sz w:val="21"/>
          <w:szCs w:val="21"/>
        </w:rPr>
        <w:t> </w:t>
      </w:r>
      <w:r>
        <w:rPr>
          <w:rFonts w:asciiTheme="minorHAnsi" w:hAnsiTheme="minorHAnsi"/>
          <w:color w:val="000000"/>
          <w:sz w:val="21"/>
          <w:szCs w:val="21"/>
        </w:rPr>
        <w:t>;</w:t>
      </w:r>
    </w:p>
    <w:p w14:paraId="000000B2" w14:textId="56276981" w:rsidR="00AA1640" w:rsidRPr="00B92CFB" w:rsidRDefault="002C0000">
      <w:pPr>
        <w:numPr>
          <w:ilvl w:val="0"/>
          <w:numId w:val="2"/>
        </w:numPr>
        <w:pBdr>
          <w:top w:val="nil"/>
          <w:left w:val="nil"/>
          <w:bottom w:val="nil"/>
          <w:right w:val="nil"/>
          <w:between w:val="nil"/>
        </w:pBdr>
        <w:spacing w:after="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la distribution, des rapports de confirmation, des rapports de rapprochement, des remboursements, des factures et autres points détaillés dans l’accord-cadre/l’offre du prestataire de services financiers est rapide et précise</w:t>
      </w:r>
      <w:r w:rsidR="00063B2D">
        <w:rPr>
          <w:rFonts w:asciiTheme="minorHAnsi" w:hAnsiTheme="minorHAnsi"/>
          <w:color w:val="000000"/>
          <w:sz w:val="21"/>
          <w:szCs w:val="21"/>
        </w:rPr>
        <w:t> </w:t>
      </w:r>
      <w:r>
        <w:rPr>
          <w:rFonts w:asciiTheme="minorHAnsi" w:hAnsiTheme="minorHAnsi"/>
          <w:color w:val="000000"/>
          <w:sz w:val="21"/>
          <w:szCs w:val="21"/>
        </w:rPr>
        <w:t>;</w:t>
      </w:r>
    </w:p>
    <w:p w14:paraId="000000B3" w14:textId="534DB91A" w:rsidR="00AA1640" w:rsidRPr="00B92CFB" w:rsidRDefault="002C0000">
      <w:pPr>
        <w:numPr>
          <w:ilvl w:val="0"/>
          <w:numId w:val="2"/>
        </w:numPr>
        <w:pBdr>
          <w:top w:val="nil"/>
          <w:left w:val="nil"/>
          <w:bottom w:val="nil"/>
          <w:right w:val="nil"/>
          <w:between w:val="nil"/>
        </w:pBdr>
        <w:spacing w:after="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des points de retrait possédant suffisamment de liquidités (dans la bonne devise) sont mis à disposition des bénéficiaires</w:t>
      </w:r>
      <w:r w:rsidR="00063B2D">
        <w:rPr>
          <w:rFonts w:asciiTheme="minorHAnsi" w:hAnsiTheme="minorHAnsi"/>
          <w:color w:val="000000"/>
          <w:sz w:val="21"/>
          <w:szCs w:val="21"/>
        </w:rPr>
        <w:t> </w:t>
      </w:r>
      <w:r>
        <w:rPr>
          <w:rFonts w:asciiTheme="minorHAnsi" w:hAnsiTheme="minorHAnsi"/>
          <w:color w:val="000000"/>
          <w:sz w:val="21"/>
          <w:szCs w:val="21"/>
        </w:rPr>
        <w:t>;</w:t>
      </w:r>
    </w:p>
    <w:p w14:paraId="000000B4" w14:textId="3E9AF540" w:rsidR="00AA1640" w:rsidRPr="00B92CFB" w:rsidRDefault="002C0000">
      <w:pPr>
        <w:numPr>
          <w:ilvl w:val="0"/>
          <w:numId w:val="2"/>
        </w:numPr>
        <w:pBdr>
          <w:top w:val="nil"/>
          <w:left w:val="nil"/>
          <w:bottom w:val="nil"/>
          <w:right w:val="nil"/>
          <w:between w:val="nil"/>
        </w:pBdr>
        <w:spacing w:after="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les bénéficiaires et le personnel/les agents de terrain sont formés, conformément à l’offre du prestataire de services financiers</w:t>
      </w:r>
      <w:r w:rsidR="00063B2D">
        <w:rPr>
          <w:rFonts w:asciiTheme="minorHAnsi" w:hAnsiTheme="minorHAnsi"/>
          <w:color w:val="000000"/>
          <w:sz w:val="21"/>
          <w:szCs w:val="21"/>
        </w:rPr>
        <w:t> </w:t>
      </w:r>
      <w:r>
        <w:rPr>
          <w:rFonts w:asciiTheme="minorHAnsi" w:hAnsiTheme="minorHAnsi"/>
          <w:color w:val="000000"/>
          <w:sz w:val="21"/>
          <w:szCs w:val="21"/>
        </w:rPr>
        <w:t>;</w:t>
      </w:r>
    </w:p>
    <w:p w14:paraId="000000B5" w14:textId="200D1397" w:rsidR="00AA1640" w:rsidRPr="00B92CFB" w:rsidRDefault="002C0000">
      <w:pPr>
        <w:numPr>
          <w:ilvl w:val="0"/>
          <w:numId w:val="2"/>
        </w:numPr>
        <w:pBdr>
          <w:top w:val="nil"/>
          <w:left w:val="nil"/>
          <w:bottom w:val="nil"/>
          <w:right w:val="nil"/>
          <w:between w:val="nil"/>
        </w:pBdr>
        <w:spacing w:after="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la communication, la gestion des réclamations et les mécanismes de réponse proposés aux bénéficiaires (c’est-à-dire les services de téléassistance par téléphone) sont efficaces</w:t>
      </w:r>
      <w:r w:rsidR="00063B2D">
        <w:rPr>
          <w:rFonts w:asciiTheme="minorHAnsi" w:hAnsiTheme="minorHAnsi"/>
          <w:color w:val="000000"/>
          <w:sz w:val="21"/>
          <w:szCs w:val="21"/>
        </w:rPr>
        <w:t> </w:t>
      </w:r>
      <w:r>
        <w:rPr>
          <w:rFonts w:asciiTheme="minorHAnsi" w:hAnsiTheme="minorHAnsi"/>
          <w:color w:val="000000"/>
          <w:sz w:val="21"/>
          <w:szCs w:val="21"/>
        </w:rPr>
        <w:t>;</w:t>
      </w:r>
    </w:p>
    <w:p w14:paraId="000000B6" w14:textId="372FF555" w:rsidR="00AA1640" w:rsidRPr="00B92CFB" w:rsidRDefault="002C0000">
      <w:pPr>
        <w:numPr>
          <w:ilvl w:val="0"/>
          <w:numId w:val="2"/>
        </w:numPr>
        <w:pBdr>
          <w:top w:val="nil"/>
          <w:left w:val="nil"/>
          <w:bottom w:val="nil"/>
          <w:right w:val="nil"/>
          <w:between w:val="nil"/>
        </w:pBdr>
        <w:spacing w:after="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les mécanismes de réponse du prestataire de services financiers en cas de perte/vol des moyens de paiement ou retraits sont efficaces</w:t>
      </w:r>
      <w:r w:rsidR="00063B2D">
        <w:rPr>
          <w:rFonts w:asciiTheme="minorHAnsi" w:hAnsiTheme="minorHAnsi"/>
          <w:color w:val="000000"/>
          <w:sz w:val="21"/>
          <w:szCs w:val="21"/>
        </w:rPr>
        <w:t> </w:t>
      </w:r>
      <w:r>
        <w:rPr>
          <w:rFonts w:asciiTheme="minorHAnsi" w:hAnsiTheme="minorHAnsi"/>
          <w:color w:val="000000"/>
          <w:sz w:val="21"/>
          <w:szCs w:val="21"/>
        </w:rPr>
        <w:t>;</w:t>
      </w:r>
    </w:p>
    <w:p w14:paraId="000000B7" w14:textId="77777777" w:rsidR="00AA1640" w:rsidRPr="00B92CFB" w:rsidRDefault="002C0000" w:rsidP="00F7152B">
      <w:pPr>
        <w:numPr>
          <w:ilvl w:val="0"/>
          <w:numId w:val="2"/>
        </w:numPr>
        <w:pBdr>
          <w:top w:val="nil"/>
          <w:left w:val="nil"/>
          <w:bottom w:val="nil"/>
          <w:right w:val="nil"/>
          <w:between w:val="nil"/>
        </w:pBdr>
        <w:spacing w:after="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le personnel/les agents font preuve de professionnalisme dans le cadre de la mise à disposition des services et de la réactivité du prestataire de services financiers aux demandes ou questions du HCR.</w:t>
      </w:r>
    </w:p>
    <w:p w14:paraId="70D8E0D0" w14:textId="77777777" w:rsidR="00F7152B" w:rsidRPr="00B92CFB" w:rsidRDefault="00F7152B" w:rsidP="00F7152B">
      <w:pPr>
        <w:spacing w:after="0"/>
        <w:jc w:val="both"/>
        <w:rPr>
          <w:rFonts w:asciiTheme="minorHAnsi" w:eastAsia="Arial" w:hAnsiTheme="minorHAnsi" w:cs="Arial"/>
          <w:color w:val="000000"/>
          <w:sz w:val="21"/>
          <w:szCs w:val="21"/>
        </w:rPr>
      </w:pPr>
    </w:p>
    <w:p w14:paraId="000000B8" w14:textId="77777777" w:rsidR="00AA1640" w:rsidRPr="00B92CFB" w:rsidRDefault="002C0000" w:rsidP="009E0858">
      <w:pPr>
        <w:spacing w:after="0"/>
        <w:jc w:val="both"/>
        <w:rPr>
          <w:rFonts w:asciiTheme="minorHAnsi" w:eastAsia="Arial" w:hAnsiTheme="minorHAnsi" w:cs="Arial"/>
          <w:sz w:val="21"/>
          <w:szCs w:val="21"/>
        </w:rPr>
      </w:pPr>
      <w:r>
        <w:rPr>
          <w:rFonts w:asciiTheme="minorHAnsi" w:hAnsiTheme="minorHAnsi"/>
          <w:sz w:val="21"/>
          <w:szCs w:val="21"/>
        </w:rPr>
        <w:t xml:space="preserve">En outre, le HCR évaluera si les </w:t>
      </w:r>
      <w:r>
        <w:rPr>
          <w:rFonts w:asciiTheme="minorHAnsi" w:hAnsiTheme="minorHAnsi"/>
          <w:sz w:val="21"/>
          <w:szCs w:val="21"/>
          <w:u w:val="single"/>
        </w:rPr>
        <w:t>indicateurs fondamentaux de performance</w:t>
      </w:r>
      <w:r>
        <w:rPr>
          <w:rFonts w:asciiTheme="minorHAnsi" w:hAnsiTheme="minorHAnsi"/>
          <w:sz w:val="21"/>
          <w:szCs w:val="21"/>
        </w:rPr>
        <w:t xml:space="preserve"> (cf. liste des indicateurs proposés en annexe B) sont satisfaits conformément à l’accord-cadre/l’offre du prestataire de services financiers.</w:t>
      </w:r>
    </w:p>
    <w:p w14:paraId="0A7C49A0" w14:textId="77777777" w:rsidR="009E0858" w:rsidRPr="00B92CFB" w:rsidRDefault="009E0858" w:rsidP="009E0858">
      <w:pPr>
        <w:spacing w:after="0"/>
        <w:jc w:val="both"/>
        <w:rPr>
          <w:rFonts w:asciiTheme="minorHAnsi" w:eastAsia="Arial" w:hAnsiTheme="minorHAnsi" w:cs="Arial"/>
          <w:color w:val="000000"/>
          <w:sz w:val="21"/>
          <w:szCs w:val="21"/>
        </w:rPr>
      </w:pPr>
    </w:p>
    <w:p w14:paraId="000000B9" w14:textId="4BDCED7A" w:rsidR="00AA1640" w:rsidRPr="00B92CFB" w:rsidRDefault="002C0000" w:rsidP="009E0858">
      <w:pPr>
        <w:spacing w:after="0" w:line="240" w:lineRule="auto"/>
        <w:jc w:val="both"/>
        <w:rPr>
          <w:rFonts w:asciiTheme="minorHAnsi" w:eastAsia="Arial" w:hAnsiTheme="minorHAnsi" w:cs="Arial"/>
          <w:color w:val="1F3864"/>
          <w:u w:val="single"/>
        </w:rPr>
      </w:pPr>
      <w:r>
        <w:rPr>
          <w:rFonts w:asciiTheme="minorHAnsi" w:hAnsiTheme="minorHAnsi"/>
          <w:b/>
          <w:color w:val="1F3864"/>
          <w:u w:val="single"/>
        </w:rPr>
        <w:t>XIV. Respect de la législation nationale</w:t>
      </w:r>
    </w:p>
    <w:p w14:paraId="000000BA" w14:textId="36D46DDE" w:rsidR="00AA1640" w:rsidRPr="00B92CFB" w:rsidRDefault="002C0000" w:rsidP="00F7152B">
      <w:pPr>
        <w:spacing w:after="12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Tous les transferts financiers ou les autres services offerts, ainsi que l’infrastructure sous-jacente, doivent être conformes aux cadres r</w:t>
      </w:r>
      <w:r w:rsidR="00063B2D">
        <w:rPr>
          <w:rFonts w:asciiTheme="minorHAnsi" w:hAnsiTheme="minorHAnsi"/>
          <w:color w:val="000000"/>
          <w:sz w:val="21"/>
          <w:szCs w:val="21"/>
        </w:rPr>
        <w:t>é</w:t>
      </w:r>
      <w:r>
        <w:rPr>
          <w:rFonts w:asciiTheme="minorHAnsi" w:hAnsiTheme="minorHAnsi"/>
          <w:color w:val="000000"/>
          <w:sz w:val="21"/>
          <w:szCs w:val="21"/>
        </w:rPr>
        <w:t xml:space="preserve">glementaires nationaux, en particulier en ce qui concerne les permis accordés par le Gouvernement, la fiscalité, la connaissance de l’identité des clients, la lutte contre le blanchiment d’argent, la lutte contre le terrorisme et les sanctions internationales, les lois et standards concernant la </w:t>
      </w:r>
      <w:r>
        <w:rPr>
          <w:rFonts w:asciiTheme="minorHAnsi" w:hAnsiTheme="minorHAnsi"/>
          <w:color w:val="000000"/>
          <w:sz w:val="21"/>
          <w:szCs w:val="21"/>
        </w:rPr>
        <w:lastRenderedPageBreak/>
        <w:t>protection des données personnelles et les exigences obligatoires en matière de sécurité des renseignements.</w:t>
      </w:r>
    </w:p>
    <w:p w14:paraId="000000BB" w14:textId="77777777" w:rsidR="00AA1640" w:rsidRPr="00B92CFB" w:rsidRDefault="002C0000" w:rsidP="009E0858">
      <w:pPr>
        <w:spacing w:before="100" w:after="0" w:line="240" w:lineRule="auto"/>
        <w:jc w:val="both"/>
        <w:rPr>
          <w:rFonts w:asciiTheme="minorHAnsi" w:eastAsia="Arial" w:hAnsiTheme="minorHAnsi" w:cs="Arial"/>
          <w:color w:val="000000"/>
          <w:sz w:val="21"/>
          <w:szCs w:val="21"/>
        </w:rPr>
      </w:pPr>
      <w:r>
        <w:rPr>
          <w:rFonts w:asciiTheme="minorHAnsi" w:hAnsiTheme="minorHAnsi"/>
          <w:color w:val="000000"/>
          <w:sz w:val="21"/>
          <w:szCs w:val="21"/>
        </w:rPr>
        <w:t>Les offres doivent fournir les certifications requises pour veiller à ce que le mécanisme de transfert et de décaissement respecte pleinement la législation nationale.</w:t>
      </w:r>
    </w:p>
    <w:p w14:paraId="7E98C332" w14:textId="77777777" w:rsidR="009E0858" w:rsidRPr="00B92CFB" w:rsidRDefault="009E0858" w:rsidP="009E0858">
      <w:pPr>
        <w:spacing w:after="0" w:line="240" w:lineRule="auto"/>
        <w:jc w:val="both"/>
        <w:rPr>
          <w:rFonts w:asciiTheme="minorHAnsi" w:eastAsia="Arial" w:hAnsiTheme="minorHAnsi" w:cs="Arial"/>
          <w:color w:val="000000"/>
          <w:sz w:val="21"/>
          <w:szCs w:val="21"/>
        </w:rPr>
      </w:pPr>
    </w:p>
    <w:p w14:paraId="000000BC" w14:textId="1247EC4B" w:rsidR="00AA1640" w:rsidRPr="00B92CFB" w:rsidRDefault="006F2394" w:rsidP="00F7152B">
      <w:pPr>
        <w:spacing w:after="0"/>
        <w:jc w:val="both"/>
        <w:rPr>
          <w:rFonts w:asciiTheme="minorHAnsi" w:eastAsia="Arial" w:hAnsiTheme="minorHAnsi" w:cs="Arial"/>
          <w:b/>
          <w:color w:val="1F3864"/>
          <w:u w:val="single"/>
        </w:rPr>
      </w:pPr>
      <w:r>
        <w:rPr>
          <w:rFonts w:asciiTheme="minorHAnsi" w:hAnsiTheme="minorHAnsi"/>
          <w:b/>
          <w:color w:val="1F3864"/>
          <w:u w:val="single"/>
        </w:rPr>
        <w:t>XV. Règlement des différends et loi applicable</w:t>
      </w:r>
    </w:p>
    <w:p w14:paraId="000000BD" w14:textId="034EB56C" w:rsidR="00AA1640" w:rsidRPr="00B92CFB" w:rsidRDefault="002C0000" w:rsidP="009E0858">
      <w:pPr>
        <w:spacing w:after="0"/>
        <w:jc w:val="both"/>
        <w:rPr>
          <w:rFonts w:asciiTheme="minorHAnsi" w:eastAsia="Arial" w:hAnsiTheme="minorHAnsi" w:cs="Arial"/>
          <w:sz w:val="21"/>
          <w:szCs w:val="21"/>
        </w:rPr>
      </w:pPr>
      <w:r>
        <w:rPr>
          <w:rFonts w:asciiTheme="minorHAnsi" w:hAnsiTheme="minorHAnsi"/>
          <w:sz w:val="21"/>
          <w:szCs w:val="21"/>
        </w:rPr>
        <w:t>Tout différent, litige ou toute réclamation découlant de l’accord-cadre ou en lien avec celui-ci seront soumis à l’article 19 des conditions générales du HCR applicables aux contrats relatifs à la fourniture de biens et de services, qui se trouve en annexe de l’accord-cadre, et régis exclusivement par ledit article. L’interprétation, la construction et l’exécution de l’accord-cadre seront exclusivement régis par les principes généraux du droit commercial international, à l’exclusion de tout choix de règles de droit qui soumettraient l’accord-cadre aux lois de toute juridiction.</w:t>
      </w:r>
    </w:p>
    <w:p w14:paraId="7447A15B" w14:textId="77777777" w:rsidR="009E0858" w:rsidRPr="00B92CFB" w:rsidRDefault="009E0858" w:rsidP="009E0858">
      <w:pPr>
        <w:spacing w:after="0"/>
        <w:jc w:val="both"/>
        <w:rPr>
          <w:rFonts w:asciiTheme="minorHAnsi" w:eastAsia="Arial" w:hAnsiTheme="minorHAnsi" w:cs="Arial"/>
          <w:sz w:val="21"/>
          <w:szCs w:val="21"/>
        </w:rPr>
      </w:pPr>
    </w:p>
    <w:p w14:paraId="000000BE" w14:textId="0B81E09A" w:rsidR="00AA1640" w:rsidRPr="00B92CFB" w:rsidRDefault="006F2394" w:rsidP="00F7152B">
      <w:pPr>
        <w:spacing w:after="0"/>
        <w:jc w:val="both"/>
        <w:rPr>
          <w:rFonts w:asciiTheme="minorHAnsi" w:eastAsia="Arial" w:hAnsiTheme="minorHAnsi" w:cs="Arial"/>
          <w:b/>
          <w:color w:val="1F3864"/>
          <w:u w:val="single"/>
        </w:rPr>
      </w:pPr>
      <w:r>
        <w:rPr>
          <w:rFonts w:asciiTheme="minorHAnsi" w:hAnsiTheme="minorHAnsi"/>
          <w:b/>
          <w:color w:val="1F3864"/>
          <w:u w:val="single"/>
        </w:rPr>
        <w:t>XVI. Privilèges et immunités</w:t>
      </w:r>
    </w:p>
    <w:p w14:paraId="000000BF" w14:textId="5DE67501" w:rsidR="00AA1640" w:rsidRPr="00B92CFB" w:rsidRDefault="002C0000">
      <w:pPr>
        <w:jc w:val="both"/>
        <w:rPr>
          <w:rFonts w:asciiTheme="minorHAnsi" w:eastAsia="Arial" w:hAnsiTheme="minorHAnsi" w:cs="Arial"/>
          <w:sz w:val="21"/>
          <w:szCs w:val="21"/>
        </w:rPr>
      </w:pPr>
      <w:r>
        <w:rPr>
          <w:rFonts w:asciiTheme="minorHAnsi" w:hAnsiTheme="minorHAnsi"/>
          <w:sz w:val="21"/>
          <w:szCs w:val="21"/>
        </w:rPr>
        <w:t xml:space="preserve">Le prestataire de services financiers </w:t>
      </w:r>
      <w:r w:rsidR="00063B2D">
        <w:rPr>
          <w:rFonts w:asciiTheme="minorHAnsi" w:hAnsiTheme="minorHAnsi"/>
          <w:sz w:val="21"/>
          <w:szCs w:val="21"/>
        </w:rPr>
        <w:t xml:space="preserve">reconnaîtra et conviendra du fait que la propriété, les fonds et les biens du HCR, ainsi que </w:t>
      </w:r>
      <w:r>
        <w:rPr>
          <w:rFonts w:asciiTheme="minorHAnsi" w:hAnsiTheme="minorHAnsi"/>
          <w:sz w:val="21"/>
          <w:szCs w:val="21"/>
        </w:rPr>
        <w:t>ses fonctionnaires et consultants officiels, jouissent des privilèges et immunités prescrits par la Convention de 1946 sur les privilèges et immunités des Nations Unies. Le compte bancaire du HCR jouira des privilèges et immunités du HCR, notamment la pleine immunité contre toute saisie, tout privilège ou toute autre charge à l’égard des comptes possédés par le HCR ou fonds contenus dans ces comptes.</w:t>
      </w:r>
    </w:p>
    <w:p w14:paraId="65E4CED0" w14:textId="77777777" w:rsidR="009D3336" w:rsidRDefault="009D3336">
      <w:pPr>
        <w:pBdr>
          <w:bottom w:val="single" w:sz="4" w:space="1" w:color="000000"/>
        </w:pBdr>
        <w:spacing w:before="100" w:after="120" w:line="240" w:lineRule="auto"/>
        <w:jc w:val="both"/>
        <w:rPr>
          <w:rFonts w:asciiTheme="minorHAnsi" w:eastAsia="Arial" w:hAnsiTheme="minorHAnsi" w:cs="Arial"/>
          <w:smallCaps/>
          <w:color w:val="000000"/>
          <w:sz w:val="21"/>
          <w:szCs w:val="21"/>
        </w:rPr>
      </w:pPr>
    </w:p>
    <w:p w14:paraId="000000C1" w14:textId="77777777" w:rsidR="00AA1640" w:rsidRPr="00B92CFB" w:rsidRDefault="002C0000">
      <w:pPr>
        <w:pBdr>
          <w:bottom w:val="single" w:sz="4" w:space="1" w:color="000000"/>
        </w:pBdr>
        <w:spacing w:before="100" w:after="120" w:line="240" w:lineRule="auto"/>
        <w:jc w:val="both"/>
        <w:rPr>
          <w:rFonts w:asciiTheme="minorHAnsi" w:eastAsia="Arial" w:hAnsiTheme="minorHAnsi" w:cs="Arial"/>
          <w:smallCaps/>
          <w:color w:val="000000"/>
          <w:sz w:val="21"/>
          <w:szCs w:val="21"/>
        </w:rPr>
      </w:pPr>
      <w:r>
        <w:rPr>
          <w:rFonts w:asciiTheme="minorHAnsi" w:hAnsiTheme="minorHAnsi"/>
          <w:smallCaps/>
          <w:color w:val="000000"/>
          <w:sz w:val="21"/>
          <w:szCs w:val="21"/>
        </w:rPr>
        <w:t>FIN</w:t>
      </w:r>
    </w:p>
    <w:sectPr w:rsidR="00AA1640" w:rsidRPr="00B92CFB" w:rsidSect="00631EC4">
      <w:headerReference w:type="default" r:id="rId8"/>
      <w:headerReference w:type="first" r:id="rId9"/>
      <w:pgSz w:w="11906" w:h="16838"/>
      <w:pgMar w:top="1304" w:right="1418" w:bottom="1304"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D5C89" w14:textId="77777777" w:rsidR="00072183" w:rsidRDefault="00072183">
      <w:pPr>
        <w:spacing w:after="0" w:line="240" w:lineRule="auto"/>
      </w:pPr>
      <w:r>
        <w:separator/>
      </w:r>
    </w:p>
  </w:endnote>
  <w:endnote w:type="continuationSeparator" w:id="0">
    <w:p w14:paraId="2A81BE28" w14:textId="77777777" w:rsidR="00072183" w:rsidRDefault="00072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D534C" w14:textId="77777777" w:rsidR="00072183" w:rsidRDefault="00072183">
      <w:pPr>
        <w:spacing w:after="0" w:line="240" w:lineRule="auto"/>
      </w:pPr>
      <w:r>
        <w:separator/>
      </w:r>
    </w:p>
  </w:footnote>
  <w:footnote w:type="continuationSeparator" w:id="0">
    <w:p w14:paraId="2F56011E" w14:textId="77777777" w:rsidR="00072183" w:rsidRDefault="00072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2" w14:textId="77777777" w:rsidR="00AA1640" w:rsidRDefault="00AA1640">
    <w:pPr>
      <w:spacing w:before="100" w:after="0" w:line="240" w:lineRule="auto"/>
      <w:jc w:val="center"/>
      <w:rPr>
        <w:rFonts w:ascii="Arial" w:eastAsia="Arial" w:hAnsi="Arial" w:cs="Arial"/>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3" w14:textId="00D1CB07" w:rsidR="00AA1640" w:rsidRPr="00E61BCD" w:rsidRDefault="002C0000" w:rsidP="00475A8E">
    <w:pPr>
      <w:spacing w:after="0"/>
      <w:ind w:right="-57"/>
      <w:jc w:val="center"/>
      <w:rPr>
        <w:rFonts w:asciiTheme="minorHAnsi" w:eastAsia="Arial" w:hAnsiTheme="minorHAnsi" w:cs="Arial"/>
        <w:b/>
      </w:rPr>
    </w:pPr>
    <w:r>
      <w:rPr>
        <w:rFonts w:asciiTheme="minorHAnsi" w:hAnsiTheme="minorHAnsi"/>
        <w:b/>
        <w:color w:val="000000"/>
      </w:rPr>
      <w:t xml:space="preserve">APPEL D’OFFRES : </w:t>
    </w:r>
    <w:r>
      <w:rPr>
        <w:rFonts w:asciiTheme="minorHAnsi" w:hAnsiTheme="minorHAnsi"/>
        <w:b/>
      </w:rPr>
      <w:t>n° </w:t>
    </w:r>
    <w:r w:rsidR="00475A8E">
      <w:rPr>
        <w:rFonts w:ascii="Arial" w:hAnsi="Arial"/>
        <w:b/>
        <w:sz w:val="24"/>
        <w:szCs w:val="24"/>
      </w:rPr>
      <w:t>RFP/MRT/004/2024</w:t>
    </w:r>
  </w:p>
  <w:p w14:paraId="000000C4" w14:textId="1595CD51" w:rsidR="00AA1640" w:rsidRPr="00E61BCD" w:rsidRDefault="002C0000">
    <w:pPr>
      <w:spacing w:after="0" w:line="240" w:lineRule="auto"/>
      <w:jc w:val="center"/>
      <w:rPr>
        <w:rFonts w:asciiTheme="minorHAnsi" w:eastAsia="Arial" w:hAnsiTheme="minorHAnsi" w:cs="Arial"/>
        <w:i/>
        <w:color w:val="000000"/>
      </w:rPr>
    </w:pPr>
    <w:r>
      <w:rPr>
        <w:rFonts w:asciiTheme="minorHAnsi" w:hAnsiTheme="minorHAnsi"/>
        <w:b/>
        <w:i/>
      </w:rPr>
      <w:t>Services financiers pour l’offre d</w:t>
    </w:r>
    <w:r w:rsidR="00063B2D">
      <w:rPr>
        <w:rFonts w:asciiTheme="minorHAnsi" w:hAnsiTheme="minorHAnsi"/>
        <w:b/>
        <w:i/>
      </w:rPr>
      <w:t>’</w:t>
    </w:r>
    <w:r>
      <w:rPr>
        <w:rFonts w:asciiTheme="minorHAnsi" w:hAnsiTheme="minorHAnsi"/>
        <w:b/>
        <w:i/>
      </w:rPr>
      <w:t>interventions en espèces pour le HCR en</w:t>
    </w:r>
    <w:r w:rsidRPr="005627B4">
      <w:rPr>
        <w:rFonts w:asciiTheme="minorHAnsi" w:hAnsiTheme="minorHAnsi"/>
        <w:b/>
        <w:i/>
      </w:rPr>
      <w:t xml:space="preserve"> </w:t>
    </w:r>
    <w:r w:rsidR="00475A8E" w:rsidRPr="005627B4">
      <w:rPr>
        <w:rFonts w:asciiTheme="minorHAnsi" w:hAnsiTheme="minorHAnsi"/>
        <w:b/>
      </w:rPr>
      <w:t>Mauritanie</w:t>
    </w:r>
  </w:p>
  <w:p w14:paraId="000000C5" w14:textId="77777777" w:rsidR="00AA1640" w:rsidRPr="00E61BCD" w:rsidRDefault="00AA1640">
    <w:pPr>
      <w:spacing w:after="0"/>
      <w:ind w:right="-57"/>
      <w:jc w:val="center"/>
      <w:rPr>
        <w:rFonts w:asciiTheme="minorHAnsi" w:eastAsia="Arial" w:hAnsiTheme="minorHAnsi" w:cs="Arial"/>
        <w:b/>
      </w:rPr>
    </w:pPr>
  </w:p>
  <w:p w14:paraId="000000C6" w14:textId="77777777" w:rsidR="00AA1640" w:rsidRDefault="002C0000">
    <w:pPr>
      <w:pBdr>
        <w:bottom w:val="single" w:sz="4" w:space="1" w:color="000000"/>
      </w:pBdr>
      <w:spacing w:after="0" w:line="240" w:lineRule="auto"/>
      <w:jc w:val="center"/>
      <w:rPr>
        <w:rFonts w:ascii="Arial" w:eastAsia="Arial" w:hAnsi="Arial" w:cs="Arial"/>
        <w:b/>
        <w:color w:val="000000"/>
      </w:rPr>
    </w:pPr>
    <w:r>
      <w:rPr>
        <w:b/>
        <w:color w:val="000000"/>
      </w:rPr>
      <w:t>Annexe A - TERMES DE RÉFÉRENCE (TdR)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E93"/>
    <w:multiLevelType w:val="hybridMultilevel"/>
    <w:tmpl w:val="24A434F4"/>
    <w:lvl w:ilvl="0" w:tplc="C0DEB3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A0706"/>
    <w:multiLevelType w:val="multilevel"/>
    <w:tmpl w:val="3FD06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AC2F48"/>
    <w:multiLevelType w:val="hybridMultilevel"/>
    <w:tmpl w:val="5798C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C19B5"/>
    <w:multiLevelType w:val="multilevel"/>
    <w:tmpl w:val="B5F4E770"/>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F9B2F5B"/>
    <w:multiLevelType w:val="multilevel"/>
    <w:tmpl w:val="059EE99C"/>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9962A29"/>
    <w:multiLevelType w:val="hybridMultilevel"/>
    <w:tmpl w:val="4B52DBF4"/>
    <w:lvl w:ilvl="0" w:tplc="0E6E1510">
      <w:start w:val="1"/>
      <w:numFmt w:val="decimal"/>
      <w:lvlText w:val="%1-"/>
      <w:lvlJc w:val="left"/>
      <w:pPr>
        <w:ind w:left="720" w:hanging="360"/>
      </w:pPr>
      <w:rPr>
        <w:rFonts w:eastAsia="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8F5CA2"/>
    <w:multiLevelType w:val="hybridMultilevel"/>
    <w:tmpl w:val="AE9AD168"/>
    <w:lvl w:ilvl="0" w:tplc="01881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60778C"/>
    <w:multiLevelType w:val="multilevel"/>
    <w:tmpl w:val="2A403B7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A85642"/>
    <w:multiLevelType w:val="multilevel"/>
    <w:tmpl w:val="BEBA74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E857EEE"/>
    <w:multiLevelType w:val="hybridMultilevel"/>
    <w:tmpl w:val="EFDEC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AF53C9"/>
    <w:multiLevelType w:val="multilevel"/>
    <w:tmpl w:val="03A67888"/>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A2E5B38"/>
    <w:multiLevelType w:val="multilevel"/>
    <w:tmpl w:val="544C7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9618F1"/>
    <w:multiLevelType w:val="multilevel"/>
    <w:tmpl w:val="2FE6D4AA"/>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32551170">
    <w:abstractNumId w:val="7"/>
  </w:num>
  <w:num w:numId="2" w16cid:durableId="1707288505">
    <w:abstractNumId w:val="12"/>
  </w:num>
  <w:num w:numId="3" w16cid:durableId="1460877363">
    <w:abstractNumId w:val="1"/>
  </w:num>
  <w:num w:numId="4" w16cid:durableId="233782625">
    <w:abstractNumId w:val="3"/>
  </w:num>
  <w:num w:numId="5" w16cid:durableId="982464607">
    <w:abstractNumId w:val="4"/>
  </w:num>
  <w:num w:numId="6" w16cid:durableId="732702879">
    <w:abstractNumId w:val="10"/>
  </w:num>
  <w:num w:numId="7" w16cid:durableId="1326788153">
    <w:abstractNumId w:val="8"/>
  </w:num>
  <w:num w:numId="8" w16cid:durableId="167838338">
    <w:abstractNumId w:val="11"/>
  </w:num>
  <w:num w:numId="9" w16cid:durableId="2080445811">
    <w:abstractNumId w:val="2"/>
  </w:num>
  <w:num w:numId="10" w16cid:durableId="1637296887">
    <w:abstractNumId w:val="5"/>
  </w:num>
  <w:num w:numId="11" w16cid:durableId="1102070297">
    <w:abstractNumId w:val="9"/>
  </w:num>
  <w:num w:numId="12" w16cid:durableId="1334451451">
    <w:abstractNumId w:val="6"/>
  </w:num>
  <w:num w:numId="13" w16cid:durableId="1624309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640"/>
    <w:rsid w:val="00005822"/>
    <w:rsid w:val="00011E00"/>
    <w:rsid w:val="000377EF"/>
    <w:rsid w:val="00063B2D"/>
    <w:rsid w:val="00072183"/>
    <w:rsid w:val="00075ADB"/>
    <w:rsid w:val="000858A0"/>
    <w:rsid w:val="00097478"/>
    <w:rsid w:val="000A40C4"/>
    <w:rsid w:val="000B1D0B"/>
    <w:rsid w:val="000B377E"/>
    <w:rsid w:val="000D3147"/>
    <w:rsid w:val="000E03F5"/>
    <w:rsid w:val="001062A9"/>
    <w:rsid w:val="00113168"/>
    <w:rsid w:val="00170D73"/>
    <w:rsid w:val="001C27FA"/>
    <w:rsid w:val="001C54F3"/>
    <w:rsid w:val="001D5F3C"/>
    <w:rsid w:val="002324D7"/>
    <w:rsid w:val="002631B8"/>
    <w:rsid w:val="00271BFF"/>
    <w:rsid w:val="0027224D"/>
    <w:rsid w:val="00282D10"/>
    <w:rsid w:val="002B1954"/>
    <w:rsid w:val="002C0000"/>
    <w:rsid w:val="002C4B58"/>
    <w:rsid w:val="00311DEF"/>
    <w:rsid w:val="00312F31"/>
    <w:rsid w:val="00313B52"/>
    <w:rsid w:val="00354CD7"/>
    <w:rsid w:val="003C20F4"/>
    <w:rsid w:val="003D0AA9"/>
    <w:rsid w:val="003D3CAC"/>
    <w:rsid w:val="003F0C94"/>
    <w:rsid w:val="00417BE9"/>
    <w:rsid w:val="00427AED"/>
    <w:rsid w:val="00431D6F"/>
    <w:rsid w:val="00443B70"/>
    <w:rsid w:val="0044467E"/>
    <w:rsid w:val="00455DED"/>
    <w:rsid w:val="00460A20"/>
    <w:rsid w:val="00473C54"/>
    <w:rsid w:val="00475A8E"/>
    <w:rsid w:val="00475E7B"/>
    <w:rsid w:val="00486526"/>
    <w:rsid w:val="00486DE2"/>
    <w:rsid w:val="004B0381"/>
    <w:rsid w:val="004C2C49"/>
    <w:rsid w:val="004D00A1"/>
    <w:rsid w:val="004D7416"/>
    <w:rsid w:val="004E79C2"/>
    <w:rsid w:val="00536076"/>
    <w:rsid w:val="005627B4"/>
    <w:rsid w:val="005E3560"/>
    <w:rsid w:val="005F1696"/>
    <w:rsid w:val="005F43B5"/>
    <w:rsid w:val="0060446B"/>
    <w:rsid w:val="00615D6D"/>
    <w:rsid w:val="00631EC4"/>
    <w:rsid w:val="0064035A"/>
    <w:rsid w:val="006418F2"/>
    <w:rsid w:val="00660404"/>
    <w:rsid w:val="00673BBC"/>
    <w:rsid w:val="006829AC"/>
    <w:rsid w:val="00683066"/>
    <w:rsid w:val="00693B7D"/>
    <w:rsid w:val="006C1B64"/>
    <w:rsid w:val="006D36DB"/>
    <w:rsid w:val="006F2394"/>
    <w:rsid w:val="007102DA"/>
    <w:rsid w:val="00713FF7"/>
    <w:rsid w:val="00721348"/>
    <w:rsid w:val="0072480A"/>
    <w:rsid w:val="007536DF"/>
    <w:rsid w:val="007610F2"/>
    <w:rsid w:val="0077660A"/>
    <w:rsid w:val="00796BB0"/>
    <w:rsid w:val="007C01DD"/>
    <w:rsid w:val="007E2E7B"/>
    <w:rsid w:val="007E34CC"/>
    <w:rsid w:val="007F36FC"/>
    <w:rsid w:val="00807C77"/>
    <w:rsid w:val="008557EC"/>
    <w:rsid w:val="00865CB1"/>
    <w:rsid w:val="008665D2"/>
    <w:rsid w:val="00887B9F"/>
    <w:rsid w:val="008949C7"/>
    <w:rsid w:val="008D331C"/>
    <w:rsid w:val="008D58C4"/>
    <w:rsid w:val="008F7878"/>
    <w:rsid w:val="00900FFE"/>
    <w:rsid w:val="0092211A"/>
    <w:rsid w:val="00942EC6"/>
    <w:rsid w:val="00964164"/>
    <w:rsid w:val="00972D73"/>
    <w:rsid w:val="009758D4"/>
    <w:rsid w:val="009C2B44"/>
    <w:rsid w:val="009D3336"/>
    <w:rsid w:val="009D3D25"/>
    <w:rsid w:val="009E0858"/>
    <w:rsid w:val="009E1341"/>
    <w:rsid w:val="009E4012"/>
    <w:rsid w:val="009E7920"/>
    <w:rsid w:val="00A14672"/>
    <w:rsid w:val="00A35579"/>
    <w:rsid w:val="00A46B2A"/>
    <w:rsid w:val="00A60147"/>
    <w:rsid w:val="00A61661"/>
    <w:rsid w:val="00A9730C"/>
    <w:rsid w:val="00AA1640"/>
    <w:rsid w:val="00AA1B4A"/>
    <w:rsid w:val="00AC65EE"/>
    <w:rsid w:val="00AD3673"/>
    <w:rsid w:val="00AD3B6B"/>
    <w:rsid w:val="00AD4F05"/>
    <w:rsid w:val="00AE0668"/>
    <w:rsid w:val="00B30C85"/>
    <w:rsid w:val="00B3493F"/>
    <w:rsid w:val="00B92CFB"/>
    <w:rsid w:val="00BA177D"/>
    <w:rsid w:val="00BF62E0"/>
    <w:rsid w:val="00C143ED"/>
    <w:rsid w:val="00C20F6F"/>
    <w:rsid w:val="00C23A8C"/>
    <w:rsid w:val="00C57784"/>
    <w:rsid w:val="00C63FF9"/>
    <w:rsid w:val="00CB703D"/>
    <w:rsid w:val="00D163FB"/>
    <w:rsid w:val="00D20E72"/>
    <w:rsid w:val="00D31920"/>
    <w:rsid w:val="00D608F7"/>
    <w:rsid w:val="00D65703"/>
    <w:rsid w:val="00D73F67"/>
    <w:rsid w:val="00DA17B8"/>
    <w:rsid w:val="00DB0421"/>
    <w:rsid w:val="00E26284"/>
    <w:rsid w:val="00E40F86"/>
    <w:rsid w:val="00E61BCD"/>
    <w:rsid w:val="00E7519E"/>
    <w:rsid w:val="00E9463B"/>
    <w:rsid w:val="00EC0CDE"/>
    <w:rsid w:val="00EC69CC"/>
    <w:rsid w:val="00ED1BE4"/>
    <w:rsid w:val="00EE6A8A"/>
    <w:rsid w:val="00EF1BB4"/>
    <w:rsid w:val="00F014F6"/>
    <w:rsid w:val="00F032F0"/>
    <w:rsid w:val="00F13BEF"/>
    <w:rsid w:val="00F24E24"/>
    <w:rsid w:val="00F41EAC"/>
    <w:rsid w:val="00F462DA"/>
    <w:rsid w:val="00F6599E"/>
    <w:rsid w:val="00F6725D"/>
    <w:rsid w:val="00F7152B"/>
    <w:rsid w:val="00FA1702"/>
    <w:rsid w:val="00FC277A"/>
    <w:rsid w:val="00FC65B4"/>
    <w:rsid w:val="00FD17D7"/>
    <w:rsid w:val="00FD7992"/>
    <w:rsid w:val="00FE5A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D3C019"/>
  <w15:docId w15:val="{6E44A552-B62C-408E-8E8F-604EA55D7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BBC"/>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link w:val="Titre2Car"/>
    <w:uiPriority w:val="9"/>
    <w:semiHidden/>
    <w:unhideWhenUsed/>
    <w:qFormat/>
    <w:rsid w:val="007A61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7A61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character" w:customStyle="1" w:styleId="apple-converted-space">
    <w:name w:val="apple-converted-space"/>
    <w:basedOn w:val="Policepardfaut"/>
    <w:rsid w:val="00196DE6"/>
  </w:style>
  <w:style w:type="character" w:styleId="Lienhypertexte">
    <w:name w:val="Hyperlink"/>
    <w:basedOn w:val="Policepardfaut"/>
    <w:uiPriority w:val="99"/>
    <w:unhideWhenUsed/>
    <w:rsid w:val="00196DE6"/>
    <w:rPr>
      <w:color w:val="0000FF"/>
      <w:u w:val="single"/>
    </w:rPr>
  </w:style>
  <w:style w:type="character" w:styleId="Lienhypertextesuivivisit">
    <w:name w:val="FollowedHyperlink"/>
    <w:basedOn w:val="Policepardfaut"/>
    <w:uiPriority w:val="99"/>
    <w:semiHidden/>
    <w:unhideWhenUsed/>
    <w:rsid w:val="00196DE6"/>
    <w:rPr>
      <w:color w:val="800080"/>
      <w:u w:val="single"/>
    </w:rPr>
  </w:style>
  <w:style w:type="paragraph" w:styleId="Paragraphedeliste">
    <w:name w:val="List Paragraph"/>
    <w:basedOn w:val="Normal"/>
    <w:uiPriority w:val="34"/>
    <w:qFormat/>
    <w:rsid w:val="00196DE6"/>
    <w:pPr>
      <w:spacing w:before="100" w:beforeAutospacing="1" w:after="100" w:afterAutospacing="1" w:line="240" w:lineRule="auto"/>
    </w:pPr>
    <w:rPr>
      <w:rFonts w:ascii="Times New Roman" w:eastAsia="Times New Roman" w:hAnsi="Times New Roman" w:cs="Times New Roman"/>
      <w:sz w:val="24"/>
      <w:szCs w:val="24"/>
    </w:rPr>
  </w:style>
  <w:style w:type="character" w:styleId="Appelnotedebasdep">
    <w:name w:val="footnote reference"/>
    <w:basedOn w:val="Policepardfaut"/>
    <w:uiPriority w:val="99"/>
    <w:semiHidden/>
    <w:unhideWhenUsed/>
    <w:rsid w:val="00196DE6"/>
  </w:style>
  <w:style w:type="paragraph" w:styleId="Commentaire">
    <w:name w:val="annotation text"/>
    <w:basedOn w:val="Normal"/>
    <w:link w:val="CommentaireCar"/>
    <w:uiPriority w:val="99"/>
    <w:semiHidden/>
    <w:unhideWhenUsed/>
    <w:rsid w:val="00196D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aireCar">
    <w:name w:val="Commentaire Car"/>
    <w:basedOn w:val="Policepardfaut"/>
    <w:link w:val="Commentaire"/>
    <w:uiPriority w:val="99"/>
    <w:semiHidden/>
    <w:rsid w:val="00196DE6"/>
    <w:rPr>
      <w:rFonts w:ascii="Times New Roman" w:eastAsia="Times New Roman" w:hAnsi="Times New Roman" w:cs="Times New Roman"/>
      <w:sz w:val="24"/>
      <w:szCs w:val="24"/>
      <w:lang w:eastAsia="en-GB"/>
    </w:rPr>
  </w:style>
  <w:style w:type="paragraph" w:styleId="Notedebasdepage">
    <w:name w:val="footnote text"/>
    <w:basedOn w:val="Normal"/>
    <w:link w:val="NotedebasdepageCar"/>
    <w:uiPriority w:val="99"/>
    <w:semiHidden/>
    <w:unhideWhenUsed/>
    <w:rsid w:val="00196D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debasdepageCar">
    <w:name w:val="Note de bas de page Car"/>
    <w:basedOn w:val="Policepardfaut"/>
    <w:link w:val="Notedebasdepage"/>
    <w:uiPriority w:val="99"/>
    <w:semiHidden/>
    <w:rsid w:val="00196DE6"/>
    <w:rPr>
      <w:rFonts w:ascii="Times New Roman" w:eastAsia="Times New Roman" w:hAnsi="Times New Roman" w:cs="Times New Roman"/>
      <w:sz w:val="24"/>
      <w:szCs w:val="24"/>
      <w:lang w:eastAsia="en-GB"/>
    </w:rPr>
  </w:style>
  <w:style w:type="paragraph" w:styleId="En-tte">
    <w:name w:val="header"/>
    <w:basedOn w:val="Normal"/>
    <w:link w:val="En-tteCar"/>
    <w:uiPriority w:val="99"/>
    <w:unhideWhenUsed/>
    <w:rsid w:val="00413A0E"/>
    <w:pPr>
      <w:tabs>
        <w:tab w:val="center" w:pos="4513"/>
        <w:tab w:val="right" w:pos="9026"/>
      </w:tabs>
      <w:spacing w:after="0" w:line="240" w:lineRule="auto"/>
    </w:pPr>
  </w:style>
  <w:style w:type="character" w:customStyle="1" w:styleId="En-tteCar">
    <w:name w:val="En-tête Car"/>
    <w:basedOn w:val="Policepardfaut"/>
    <w:link w:val="En-tte"/>
    <w:uiPriority w:val="99"/>
    <w:rsid w:val="00413A0E"/>
  </w:style>
  <w:style w:type="paragraph" w:styleId="Pieddepage">
    <w:name w:val="footer"/>
    <w:basedOn w:val="Normal"/>
    <w:link w:val="PieddepageCar"/>
    <w:uiPriority w:val="99"/>
    <w:unhideWhenUsed/>
    <w:rsid w:val="00413A0E"/>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413A0E"/>
  </w:style>
  <w:style w:type="character" w:customStyle="1" w:styleId="Titre2Car">
    <w:name w:val="Titre 2 Car"/>
    <w:basedOn w:val="Policepardfaut"/>
    <w:link w:val="Titre2"/>
    <w:uiPriority w:val="9"/>
    <w:rsid w:val="007A61B8"/>
    <w:rPr>
      <w:rFonts w:asciiTheme="majorHAnsi" w:eastAsiaTheme="majorEastAsia" w:hAnsiTheme="majorHAnsi" w:cstheme="majorBidi"/>
      <w:color w:val="2E74B5" w:themeColor="accent1" w:themeShade="BF"/>
      <w:sz w:val="26"/>
      <w:szCs w:val="26"/>
      <w:lang w:val="fr-FR"/>
    </w:rPr>
  </w:style>
  <w:style w:type="character" w:customStyle="1" w:styleId="Titre3Car">
    <w:name w:val="Titre 3 Car"/>
    <w:basedOn w:val="Policepardfaut"/>
    <w:link w:val="Titre3"/>
    <w:uiPriority w:val="9"/>
    <w:rsid w:val="007A61B8"/>
    <w:rPr>
      <w:rFonts w:asciiTheme="majorHAnsi" w:eastAsiaTheme="majorEastAsia" w:hAnsiTheme="majorHAnsi" w:cstheme="majorBidi"/>
      <w:color w:val="1F4D78" w:themeColor="accent1" w:themeShade="7F"/>
      <w:sz w:val="24"/>
      <w:szCs w:val="24"/>
      <w:lang w:val="fr-FR"/>
    </w:rPr>
  </w:style>
  <w:style w:type="paragraph" w:styleId="Textedebulles">
    <w:name w:val="Balloon Text"/>
    <w:basedOn w:val="Normal"/>
    <w:link w:val="TextedebullesCar"/>
    <w:uiPriority w:val="99"/>
    <w:semiHidden/>
    <w:unhideWhenUsed/>
    <w:rsid w:val="004614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1455"/>
    <w:rPr>
      <w:rFonts w:ascii="Segoe UI" w:hAnsi="Segoe UI" w:cs="Segoe UI"/>
      <w:sz w:val="18"/>
      <w:szCs w:val="18"/>
    </w:rPr>
  </w:style>
  <w:style w:type="paragraph" w:customStyle="1" w:styleId="Default">
    <w:name w:val="Default"/>
    <w:rsid w:val="00760D27"/>
    <w:pPr>
      <w:autoSpaceDE w:val="0"/>
      <w:autoSpaceDN w:val="0"/>
      <w:adjustRightInd w:val="0"/>
      <w:spacing w:after="0" w:line="240" w:lineRule="auto"/>
    </w:pPr>
    <w:rPr>
      <w:color w:val="000000"/>
      <w:sz w:val="24"/>
      <w:szCs w:val="24"/>
    </w:rPr>
  </w:style>
  <w:style w:type="character" w:styleId="Marquedecommentaire">
    <w:name w:val="annotation reference"/>
    <w:basedOn w:val="Policepardfaut"/>
    <w:uiPriority w:val="99"/>
    <w:semiHidden/>
    <w:unhideWhenUsed/>
    <w:rsid w:val="002A60E8"/>
    <w:rPr>
      <w:sz w:val="16"/>
      <w:szCs w:val="16"/>
    </w:rPr>
  </w:style>
  <w:style w:type="paragraph" w:styleId="Objetducommentaire">
    <w:name w:val="annotation subject"/>
    <w:basedOn w:val="Commentaire"/>
    <w:next w:val="Commentaire"/>
    <w:link w:val="ObjetducommentaireCar"/>
    <w:uiPriority w:val="99"/>
    <w:semiHidden/>
    <w:unhideWhenUsed/>
    <w:rsid w:val="002A60E8"/>
    <w:pPr>
      <w:spacing w:before="0" w:beforeAutospacing="0" w:after="160" w:afterAutospacing="0"/>
    </w:pPr>
    <w:rPr>
      <w:rFonts w:asciiTheme="minorHAnsi" w:eastAsiaTheme="minorHAnsi" w:hAnsiTheme="minorHAnsi" w:cstheme="minorBidi"/>
      <w:b/>
      <w:bCs/>
      <w:sz w:val="20"/>
      <w:szCs w:val="20"/>
      <w:lang w:eastAsia="en-US"/>
    </w:rPr>
  </w:style>
  <w:style w:type="character" w:customStyle="1" w:styleId="ObjetducommentaireCar">
    <w:name w:val="Objet du commentaire Car"/>
    <w:basedOn w:val="CommentaireCar"/>
    <w:link w:val="Objetducommentaire"/>
    <w:uiPriority w:val="99"/>
    <w:semiHidden/>
    <w:rsid w:val="002A60E8"/>
    <w:rPr>
      <w:rFonts w:ascii="Times New Roman" w:eastAsia="Times New Roman" w:hAnsi="Times New Roman" w:cs="Times New Roman"/>
      <w:b/>
      <w:bCs/>
      <w:sz w:val="20"/>
      <w:szCs w:val="20"/>
      <w:lang w:eastAsia="en-GB"/>
    </w:rPr>
  </w:style>
  <w:style w:type="paragraph" w:styleId="Rvision">
    <w:name w:val="Revision"/>
    <w:hidden/>
    <w:uiPriority w:val="99"/>
    <w:semiHidden/>
    <w:rsid w:val="001214D1"/>
    <w:pPr>
      <w:spacing w:after="0" w:line="240" w:lineRule="auto"/>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left w:w="0" w:type="dxa"/>
        <w:right w:w="0" w:type="dxa"/>
      </w:tblCellMar>
    </w:tblPr>
  </w:style>
  <w:style w:type="table" w:customStyle="1" w:styleId="a0">
    <w:basedOn w:val="TableauNormal"/>
    <w:tblPr>
      <w:tblStyleRowBandSize w:val="1"/>
      <w:tblStyleColBandSize w:val="1"/>
      <w:tblCellMar>
        <w:left w:w="0" w:type="dxa"/>
        <w:right w:w="0" w:type="dxa"/>
      </w:tblCellMar>
    </w:tblPr>
  </w:style>
  <w:style w:type="table" w:styleId="Grilledutableau">
    <w:name w:val="Table Grid"/>
    <w:basedOn w:val="TableauNormal"/>
    <w:uiPriority w:val="39"/>
    <w:rsid w:val="00312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173335">
      <w:bodyDiv w:val="1"/>
      <w:marLeft w:val="0"/>
      <w:marRight w:val="0"/>
      <w:marTop w:val="0"/>
      <w:marBottom w:val="0"/>
      <w:divBdr>
        <w:top w:val="none" w:sz="0" w:space="0" w:color="auto"/>
        <w:left w:val="none" w:sz="0" w:space="0" w:color="auto"/>
        <w:bottom w:val="none" w:sz="0" w:space="0" w:color="auto"/>
        <w:right w:val="none" w:sz="0" w:space="0" w:color="auto"/>
      </w:divBdr>
    </w:div>
    <w:div w:id="1143305091">
      <w:bodyDiv w:val="1"/>
      <w:marLeft w:val="0"/>
      <w:marRight w:val="0"/>
      <w:marTop w:val="0"/>
      <w:marBottom w:val="0"/>
      <w:divBdr>
        <w:top w:val="none" w:sz="0" w:space="0" w:color="auto"/>
        <w:left w:val="none" w:sz="0" w:space="0" w:color="auto"/>
        <w:bottom w:val="none" w:sz="0" w:space="0" w:color="auto"/>
        <w:right w:val="none" w:sz="0" w:space="0" w:color="auto"/>
      </w:divBdr>
      <w:divsChild>
        <w:div w:id="468713861">
          <w:marLeft w:val="0"/>
          <w:marRight w:val="0"/>
          <w:marTop w:val="0"/>
          <w:marBottom w:val="0"/>
          <w:divBdr>
            <w:top w:val="none" w:sz="0" w:space="0" w:color="auto"/>
            <w:left w:val="none" w:sz="0" w:space="0" w:color="auto"/>
            <w:bottom w:val="none" w:sz="0" w:space="0" w:color="auto"/>
            <w:right w:val="none" w:sz="0" w:space="0" w:color="auto"/>
          </w:divBdr>
          <w:divsChild>
            <w:div w:id="775755458">
              <w:marLeft w:val="0"/>
              <w:marRight w:val="0"/>
              <w:marTop w:val="60"/>
              <w:marBottom w:val="255"/>
              <w:divBdr>
                <w:top w:val="none" w:sz="0" w:space="0" w:color="auto"/>
                <w:left w:val="none" w:sz="0" w:space="0" w:color="auto"/>
                <w:bottom w:val="none" w:sz="0" w:space="0" w:color="auto"/>
                <w:right w:val="none" w:sz="0" w:space="0" w:color="auto"/>
              </w:divBdr>
              <w:divsChild>
                <w:div w:id="885337216">
                  <w:marLeft w:val="0"/>
                  <w:marRight w:val="240"/>
                  <w:marTop w:val="0"/>
                  <w:marBottom w:val="0"/>
                  <w:divBdr>
                    <w:top w:val="none" w:sz="0" w:space="0" w:color="auto"/>
                    <w:left w:val="none" w:sz="0" w:space="0" w:color="auto"/>
                    <w:bottom w:val="none" w:sz="0" w:space="0" w:color="auto"/>
                    <w:right w:val="none" w:sz="0" w:space="0" w:color="auto"/>
                  </w:divBdr>
                  <w:divsChild>
                    <w:div w:id="2008365398">
                      <w:marLeft w:val="0"/>
                      <w:marRight w:val="0"/>
                      <w:marTop w:val="0"/>
                      <w:marBottom w:val="0"/>
                      <w:divBdr>
                        <w:top w:val="none" w:sz="0" w:space="0" w:color="auto"/>
                        <w:left w:val="none" w:sz="0" w:space="0" w:color="auto"/>
                        <w:bottom w:val="none" w:sz="0" w:space="0" w:color="auto"/>
                        <w:right w:val="none" w:sz="0" w:space="0" w:color="auto"/>
                      </w:divBdr>
                      <w:divsChild>
                        <w:div w:id="1579709648">
                          <w:marLeft w:val="0"/>
                          <w:marRight w:val="0"/>
                          <w:marTop w:val="0"/>
                          <w:marBottom w:val="0"/>
                          <w:divBdr>
                            <w:top w:val="none" w:sz="0" w:space="0" w:color="auto"/>
                            <w:left w:val="none" w:sz="0" w:space="0" w:color="auto"/>
                            <w:bottom w:val="none" w:sz="0" w:space="0" w:color="auto"/>
                            <w:right w:val="none" w:sz="0" w:space="0" w:color="auto"/>
                          </w:divBdr>
                          <w:divsChild>
                            <w:div w:id="547376356">
                              <w:marLeft w:val="0"/>
                              <w:marRight w:val="0"/>
                              <w:marTop w:val="0"/>
                              <w:marBottom w:val="0"/>
                              <w:divBdr>
                                <w:top w:val="none" w:sz="0" w:space="0" w:color="auto"/>
                                <w:left w:val="none" w:sz="0" w:space="0" w:color="auto"/>
                                <w:bottom w:val="none" w:sz="0" w:space="0" w:color="auto"/>
                                <w:right w:val="none" w:sz="0" w:space="0" w:color="auto"/>
                              </w:divBdr>
                              <w:divsChild>
                                <w:div w:id="505025368">
                                  <w:marLeft w:val="0"/>
                                  <w:marRight w:val="0"/>
                                  <w:marTop w:val="0"/>
                                  <w:marBottom w:val="0"/>
                                  <w:divBdr>
                                    <w:top w:val="none" w:sz="0" w:space="0" w:color="auto"/>
                                    <w:left w:val="none" w:sz="0" w:space="0" w:color="auto"/>
                                    <w:bottom w:val="none" w:sz="0" w:space="0" w:color="auto"/>
                                    <w:right w:val="none" w:sz="0" w:space="0" w:color="auto"/>
                                  </w:divBdr>
                                  <w:divsChild>
                                    <w:div w:id="943155185">
                                      <w:marLeft w:val="0"/>
                                      <w:marRight w:val="0"/>
                                      <w:marTop w:val="0"/>
                                      <w:marBottom w:val="0"/>
                                      <w:divBdr>
                                        <w:top w:val="none" w:sz="0" w:space="0" w:color="auto"/>
                                        <w:left w:val="none" w:sz="0" w:space="0" w:color="auto"/>
                                        <w:bottom w:val="none" w:sz="0" w:space="0" w:color="auto"/>
                                        <w:right w:val="none" w:sz="0" w:space="0" w:color="auto"/>
                                      </w:divBdr>
                                      <w:divsChild>
                                        <w:div w:id="60623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nTVK4+ea4E5ZwzhX5CDjG6366A==">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4788</Words>
  <Characters>27394</Characters>
  <Application>Microsoft Office Word</Application>
  <DocSecurity>0</DocSecurity>
  <Lines>570</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DiPretoro</dc:creator>
  <cp:lastModifiedBy>Solange Umuhire</cp:lastModifiedBy>
  <cp:revision>60</cp:revision>
  <cp:lastPrinted>2019-09-16T14:14:00Z</cp:lastPrinted>
  <dcterms:created xsi:type="dcterms:W3CDTF">2024-06-22T13:42:00Z</dcterms:created>
  <dcterms:modified xsi:type="dcterms:W3CDTF">2024-06-25T10:46:00Z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0x010100B7982A58CCF7324E8072C410916D7409</vt:lpwstr>
  </property>
  <property fmtid="{D5CDD505-2E9C-101B-9397-08002B2CF9AE}" pid="3" name="GrammarlyDocumentId">
    <vt:lpwstr>848a463fb078820c50448aabf61c200a3c1425e1419c76b7285ce74bc27e021e</vt:lpwstr>
  </property>
</Properties>
</file>